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be5f1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Jaarplan 2024 - Werkgroep Hand-Polsrevalidatie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077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Hieronder treft u voor de verschillende onderwerpen ruimte om de plannen voor 2024 te beschrijven. De realisatie van de beoogde doelen en voorgenomen acties zullen in het jaarverslag over 2024 terug komen.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Kwaliteit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773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Denk aan: Richtlijnen, behandelkaders, zorgstandaarden; Afstemmen behandelprogramma’s; Behandelmodules</w:t>
      </w:r>
    </w:p>
    <w:tbl>
      <w:tblPr>
        <w:tblStyle w:val="Table1"/>
        <w:tblW w:w="102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Wij zullen medewerking verlenen als input wordt gevraagd voor landelijke richtlijnen mbt hand-pols klachten. Geen eigen richtlijn die wordt ontwikkeld. </w:t>
            </w:r>
          </w:p>
          <w:p w:rsidR="00000000" w:rsidDel="00000000" w:rsidP="00000000" w:rsidRDefault="00000000" w:rsidRPr="00000000" w14:paraId="0000000A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We zullen een actieve bijdrage leveren aan de cluster stuurgroep hand pols.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Voorgenomen acties relatie werkplan ‘De revalidatiearts 2025’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Realisatie (t.b.v. het jaarverslag)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0773"/>
        </w:tabs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Resultaatmeting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0773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Denk aan: Prestatie-indicatoren en meetinstrumenten</w:t>
      </w:r>
    </w:p>
    <w:tbl>
      <w:tblPr>
        <w:tblStyle w:val="Table2"/>
        <w:tblW w:w="102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Er is meer inzicht in meetinstrumenten/klinimetrie ten behoeve van patienten met hand-/pols problematiek, zowel degeneratief als post-operatief/post-trauma, op zowel functie-niveau als activiteiten/participatie.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Deze meetinstrumenten zouden kunnen worden ingezet om de resultaten van MSR bij complexe hand-/polsproblematiek aan te tonen.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Voorgenomen acties relatie werkplan ‘De revalidatiearts 2025’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Deelgroep Richtlijnen binnen WHPR die zich bezighoudt met bovenstaand thema. Er zal nog een overleg plaatsvinden met Ruud Selles, hoogleraar op dit gebied over de nieuwste ontwikkelingen.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Realisatie (t.b.v. het jaarverslag)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0773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Wetenschappelijke activiteiten</w:t>
      </w:r>
    </w:p>
    <w:p w:rsidR="00000000" w:rsidDel="00000000" w:rsidP="00000000" w:rsidRDefault="00000000" w:rsidRPr="00000000" w14:paraId="00000026">
      <w:pPr>
        <w:tabs>
          <w:tab w:val="left" w:leader="none" w:pos="10773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Denk aan: SKMS-projecten; Voordrachten, presentaties; Wetenschappelijk onderzoek</w:t>
      </w:r>
    </w:p>
    <w:tbl>
      <w:tblPr>
        <w:tblStyle w:val="Table3"/>
        <w:tblW w:w="102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Kennis delen over hand-/pols gerelateerde onderwerpen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Voorgenomen acties relatie werkplan ‘De revalidatiearts 2025’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Inhoudelijke geaccrediteerde bijeenkomst werkgroep organiseren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Delen van cursussen gerelateerd aan hand-pols problematiek, niet noodzakelijk georganiseerd door de VRA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Realisatie (t.b.v. het jaarverslag)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10773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Deskundigheidsbevordering/onderwijs</w:t>
      </w:r>
    </w:p>
    <w:p w:rsidR="00000000" w:rsidDel="00000000" w:rsidP="00000000" w:rsidRDefault="00000000" w:rsidRPr="00000000" w14:paraId="00000036">
      <w:pPr>
        <w:tabs>
          <w:tab w:val="left" w:leader="none" w:pos="10773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Denk aan: Opleiding aios; Nascholing revalidatieartsen; Workshop tijdens DCRM</w:t>
      </w:r>
    </w:p>
    <w:tbl>
      <w:tblPr>
        <w:tblStyle w:val="Table4"/>
        <w:tblW w:w="102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Bijdrage van WPHR in onderwijs in modernisering scholingsprogramma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Voorgenomen acties relatie werkplan ‘De revalidatiearts 2025’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Leden van de WHPR leveren een bijdrage aan onderwijs in vernieuwde scholingsprogramma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Leden WPHR zitten in de organisatie van het scholingsprogramma met onderwerp Hand-/pols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Een vervolg onderwijsbijeenkomst organiseren in samenwerking met de NOV.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Realisatie (t.b.v. het jaarverslag)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773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Samenwerkingsverbanden/netwerk</w:t>
      </w:r>
    </w:p>
    <w:p w:rsidR="00000000" w:rsidDel="00000000" w:rsidP="00000000" w:rsidRDefault="00000000" w:rsidRPr="00000000" w14:paraId="00000044">
      <w:pPr>
        <w:tabs>
          <w:tab w:val="left" w:leader="none" w:pos="10773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Denk aan: Contacten met (patiënten)organisaties en andere wetenschappelijke verenigingen; Voorlichtingsmateriaal t.b.v. patiënten</w:t>
      </w:r>
    </w:p>
    <w:tbl>
      <w:tblPr>
        <w:tblStyle w:val="Table5"/>
        <w:tblW w:w="102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De contacten met de aanverwante verenigingen blijven bestaan. Hierbij valt te denken aan: NVHT, EN, NVHC, Nerass, NOV.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Voorgenomen acties relatie werkplan ‘De revalidatiearts 2025’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Realisatie (t.b.v. het jaarverslag)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0773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Overige activiteiten</w:t>
      </w:r>
    </w:p>
    <w:p w:rsidR="00000000" w:rsidDel="00000000" w:rsidP="00000000" w:rsidRDefault="00000000" w:rsidRPr="00000000" w14:paraId="00000052">
      <w:pPr>
        <w:tabs>
          <w:tab w:val="left" w:leader="none" w:pos="10773"/>
        </w:tabs>
        <w:rPr>
          <w:i w:val="1"/>
        </w:rPr>
      </w:pPr>
      <w:r w:rsidDel="00000000" w:rsidR="00000000" w:rsidRPr="00000000">
        <w:rPr>
          <w:i w:val="1"/>
          <w:rtl w:val="0"/>
        </w:rPr>
        <w:t xml:space="preserve">Denk aan: Profilering vak; VRA website; Revalidatie Kennisnet</w:t>
      </w:r>
    </w:p>
    <w:tbl>
      <w:tblPr>
        <w:tblStyle w:val="Table6"/>
        <w:tblW w:w="102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Doelen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Revalidatiekennisnet wordt gebruikt als archiveringsplek voor notulen van de werkgroep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Voorgenomen acties relatie werkplan ‘De revalidatiearts 2025’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Realisatie (t.b.v. het jaarverslag)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Financiën werkgroep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Voor 2023 verwacht de werkgroep de volgende kosten te maken en opbrengsten te realiseren:</w:t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Begroting werkgroep</w:t>
      </w:r>
    </w:p>
    <w:tbl>
      <w:tblPr>
        <w:tblStyle w:val="Table7"/>
        <w:tblW w:w="75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2621"/>
        <w:tblGridChange w:id="0">
          <w:tblGrid>
            <w:gridCol w:w="4957"/>
            <w:gridCol w:w="2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Omschrijving 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Kosten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- bijv. zaalhuur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- bijv. catering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- bijv. sprekers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  <w:p w:rsidR="00000000" w:rsidDel="00000000" w:rsidP="00000000" w:rsidRDefault="00000000" w:rsidRPr="00000000" w14:paraId="00000072">
            <w:pPr>
              <w:ind w:right="2293"/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Totaal kosten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Opbrengsten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- Bijdrage VRA )*</w:t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Totaal opbrengsten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)* De jaarlijkse bijdrage van de VRA aan de kosten bedraagt het volgende: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Kleine werkgroep (0-19 RA): </w:t>
        <w:tab/>
        <w:t xml:space="preserve">€</w:t>
        <w:tab/>
        <w:t xml:space="preserve">600,-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Middelgrote werkgroep (20-49 RA): </w:t>
        <w:tab/>
        <w:t xml:space="preserve">€</w:t>
        <w:tab/>
        <w:t xml:space="preserve"> 1.200,-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Grote werkgroep (&gt;49 RA): </w:t>
        <w:tab/>
        <w:t xml:space="preserve">€</w:t>
        <w:tab/>
        <w:t xml:space="preserve"> 1.800,-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899" w:right="719" w:header="107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8195944</wp:posOffset>
          </wp:positionH>
          <wp:positionV relativeFrom="margin">
            <wp:posOffset>-701039</wp:posOffset>
          </wp:positionV>
          <wp:extent cx="1095375" cy="675005"/>
          <wp:effectExtent b="0" l="0" r="0" t="0"/>
          <wp:wrapNone/>
          <wp:docPr descr="LOGO_300dpi_RGB" id="2" name="image1.jpg"/>
          <a:graphic>
            <a:graphicData uri="http://schemas.openxmlformats.org/drawingml/2006/picture">
              <pic:pic>
                <pic:nvPicPr>
                  <pic:cNvPr descr="LOGO_300dpi_RGB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6750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8A3600"/>
    <w:rPr>
      <w:rFonts w:ascii="Arial" w:hAnsi="Arial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59"/>
    <w:rsid w:val="001470B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 w:val="1"/>
    <w:unhideWhenUsed w:val="1"/>
    <w:rsid w:val="00490F7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 w:val="1"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 w:val="1"/>
    <w:rsid w:val="00490F7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 w:val="1"/>
    <w:rsid w:val="0057663D"/>
    <w:pPr>
      <w:ind w:left="720"/>
      <w:contextualSpacing w:val="1"/>
    </w:pPr>
    <w:rPr>
      <w:rFonts w:cs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MvTTzY3CbAT2WCNeh3UKTczm8w==">CgMxLjAyCGguZ2pkZ3hzOAByITF2ZjVLdHNPX2JYeklzNkVwZTBwckRQR3ljOEdWbFFtcg==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2022-12-21T12:53:00Z</dcterms:created>
  <dc:creator>Janny Landheer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0x01010031414466D87C5741BF43CD8B4AE96E9A</vt:lpwstr>
  </property>
  <property fmtid="{D5CDD505-2E9C-101B-9397-08002B2CF9AE}" pid="4" name="Order">
    <vt:r8>100.0</vt:r8>
  </property>
  <property fmtid="{D5CDD505-2E9C-101B-9397-08002B2CF9AE}" pid="5" name="Order">
    <vt:lpwstr>100.0</vt:lpwstr>
  </property>
  <property fmtid="{D5CDD505-2E9C-101B-9397-08002B2CF9AE}" pid="6" name="_NewReviewCycle">
    <vt:lpwstr>_NewReviewCycle</vt:lpwstr>
  </property>
  <property fmtid="{D5CDD505-2E9C-101B-9397-08002B2CF9AE}" pid="7" name="ContentTypeId">
    <vt:lpwstr>0x01010031414466D87C5741BF43CD8B4AE96E9A</vt:lpwstr>
  </property>
</Properties>
</file>