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F59C" w14:textId="7E541BD1" w:rsidR="00BF2E85" w:rsidRDefault="00BF2E85" w:rsidP="00BF2E85">
      <w:pPr>
        <w:pBdr>
          <w:top w:val="single" w:sz="4" w:space="1" w:color="auto"/>
          <w:left w:val="single" w:sz="4" w:space="4" w:color="auto"/>
          <w:bottom w:val="single" w:sz="4" w:space="1" w:color="auto"/>
          <w:right w:val="single" w:sz="4" w:space="4" w:color="auto"/>
        </w:pBdr>
        <w:shd w:val="clear" w:color="auto" w:fill="D9E2F3" w:themeFill="accent1" w:themeFillTint="33"/>
      </w:pPr>
      <w:r w:rsidRPr="00616EB7">
        <w:rPr>
          <w:rFonts w:cs="Arial"/>
          <w:b/>
          <w:sz w:val="24"/>
          <w:szCs w:val="24"/>
        </w:rPr>
        <w:t>Jaar</w:t>
      </w:r>
      <w:r>
        <w:rPr>
          <w:rFonts w:cs="Arial"/>
          <w:b/>
          <w:sz w:val="24"/>
          <w:szCs w:val="24"/>
        </w:rPr>
        <w:t>verslag</w:t>
      </w:r>
      <w:r w:rsidRPr="00616EB7">
        <w:rPr>
          <w:rFonts w:cs="Arial"/>
          <w:b/>
          <w:sz w:val="24"/>
          <w:szCs w:val="24"/>
        </w:rPr>
        <w:t xml:space="preserve"> </w:t>
      </w:r>
      <w:r>
        <w:rPr>
          <w:rFonts w:cs="Arial"/>
          <w:b/>
          <w:sz w:val="24"/>
          <w:szCs w:val="24"/>
        </w:rPr>
        <w:t>2023</w:t>
      </w:r>
      <w:r w:rsidRPr="00616EB7">
        <w:rPr>
          <w:rFonts w:cs="Arial"/>
          <w:b/>
          <w:sz w:val="24"/>
          <w:szCs w:val="24"/>
        </w:rPr>
        <w:t xml:space="preserve"> - Werkgroep </w:t>
      </w:r>
      <w:r w:rsidR="00880EA5">
        <w:rPr>
          <w:rFonts w:cs="Arial"/>
          <w:b/>
          <w:sz w:val="24"/>
          <w:szCs w:val="24"/>
        </w:rPr>
        <w:t>WPN</w:t>
      </w:r>
    </w:p>
    <w:p w14:paraId="4A39288E" w14:textId="77777777" w:rsidR="00BF2E85" w:rsidRDefault="00BF2E85" w:rsidP="00BF2E85">
      <w:pPr>
        <w:tabs>
          <w:tab w:val="left" w:pos="10773"/>
        </w:tabs>
      </w:pPr>
    </w:p>
    <w:p w14:paraId="57DA5764" w14:textId="77777777" w:rsidR="00BF2E85" w:rsidRPr="00E36F6D" w:rsidRDefault="00BF2E85" w:rsidP="00BF2E85">
      <w:pPr>
        <w:rPr>
          <w:b/>
          <w:bCs/>
        </w:rPr>
      </w:pPr>
    </w:p>
    <w:p w14:paraId="6E5779DB" w14:textId="77777777" w:rsidR="00BF2E85" w:rsidRDefault="00BF2E85" w:rsidP="00BF2E85">
      <w:pPr>
        <w:rPr>
          <w:b/>
          <w:bCs/>
        </w:rPr>
      </w:pPr>
      <w:r w:rsidRPr="0064475B">
        <w:rPr>
          <w:b/>
          <w:bCs/>
          <w:sz w:val="24"/>
          <w:szCs w:val="24"/>
        </w:rPr>
        <w:t>Kwaliteit</w:t>
      </w:r>
    </w:p>
    <w:p w14:paraId="2CEAC14B" w14:textId="77777777" w:rsidR="00BF2E85" w:rsidRDefault="00BF2E85" w:rsidP="00BF2E85">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BF2E85" w14:paraId="175720B4" w14:textId="77777777" w:rsidTr="00751CFE">
        <w:tc>
          <w:tcPr>
            <w:tcW w:w="10278" w:type="dxa"/>
            <w:shd w:val="clear" w:color="auto" w:fill="D9E2F3" w:themeFill="accent1" w:themeFillTint="33"/>
          </w:tcPr>
          <w:p w14:paraId="4506221A" w14:textId="77777777" w:rsidR="00BF2E85" w:rsidRDefault="00BF2E85" w:rsidP="00751CFE">
            <w:pPr>
              <w:rPr>
                <w:b/>
                <w:bCs/>
              </w:rPr>
            </w:pPr>
            <w:r>
              <w:rPr>
                <w:b/>
                <w:bCs/>
              </w:rPr>
              <w:t>Doelen</w:t>
            </w:r>
          </w:p>
        </w:tc>
      </w:tr>
      <w:tr w:rsidR="00BF2E85" w14:paraId="1FD31FBE" w14:textId="77777777" w:rsidTr="00751CFE">
        <w:tc>
          <w:tcPr>
            <w:tcW w:w="10278" w:type="dxa"/>
          </w:tcPr>
          <w:p w14:paraId="048E6A64" w14:textId="77777777" w:rsidR="00BF2E85" w:rsidRPr="002D4230" w:rsidRDefault="00BF2E85" w:rsidP="00751CFE"/>
          <w:p w14:paraId="66943F5D" w14:textId="77777777" w:rsidR="00BF2E85" w:rsidRPr="00B42D58" w:rsidRDefault="00BF2E85" w:rsidP="00BF2E85">
            <w:pPr>
              <w:pStyle w:val="Lijstalinea"/>
              <w:numPr>
                <w:ilvl w:val="0"/>
                <w:numId w:val="2"/>
              </w:numPr>
              <w:rPr>
                <w:sz w:val="20"/>
                <w:szCs w:val="20"/>
              </w:rPr>
            </w:pPr>
            <w:r w:rsidRPr="00B42D58">
              <w:rPr>
                <w:sz w:val="20"/>
                <w:szCs w:val="20"/>
              </w:rPr>
              <w:t>Ontwikkelen Richtlijn Pijnrevalidatie (SKMS); Rob Smeets, Jeanine Verbunt, Rita Schiphorst</w:t>
            </w:r>
            <w:r>
              <w:rPr>
                <w:sz w:val="20"/>
                <w:szCs w:val="20"/>
              </w:rPr>
              <w:t>-</w:t>
            </w:r>
            <w:r w:rsidRPr="00B42D58">
              <w:rPr>
                <w:sz w:val="20"/>
                <w:szCs w:val="20"/>
              </w:rPr>
              <w:t xml:space="preserve">Preuper </w:t>
            </w:r>
          </w:p>
          <w:p w14:paraId="604FC619" w14:textId="77777777" w:rsidR="00BF2E85" w:rsidRDefault="00BF2E85" w:rsidP="00BF2E85">
            <w:pPr>
              <w:pStyle w:val="Lijstalinea"/>
              <w:numPr>
                <w:ilvl w:val="0"/>
                <w:numId w:val="2"/>
              </w:numPr>
              <w:rPr>
                <w:sz w:val="20"/>
                <w:szCs w:val="20"/>
              </w:rPr>
            </w:pPr>
            <w:r w:rsidRPr="00B42D58">
              <w:rPr>
                <w:sz w:val="20"/>
                <w:szCs w:val="20"/>
              </w:rPr>
              <w:t>Ontwikkelen Leidraad Chronische pijn: Rita Schiphorst</w:t>
            </w:r>
            <w:r>
              <w:rPr>
                <w:sz w:val="20"/>
                <w:szCs w:val="20"/>
              </w:rPr>
              <w:t>-</w:t>
            </w:r>
            <w:r w:rsidRPr="00B42D58">
              <w:rPr>
                <w:sz w:val="20"/>
                <w:szCs w:val="20"/>
              </w:rPr>
              <w:t xml:space="preserve">Preuper en Rob Smeets </w:t>
            </w:r>
          </w:p>
          <w:p w14:paraId="6F6F9BD3" w14:textId="77777777" w:rsidR="00BF2E85" w:rsidRDefault="00BF2E85" w:rsidP="00751CFE"/>
          <w:p w14:paraId="27B9D953" w14:textId="77777777" w:rsidR="00BF2E85" w:rsidRDefault="00BF2E85" w:rsidP="00751CFE">
            <w:pPr>
              <w:pStyle w:val="Lijstalinea"/>
              <w:rPr>
                <w:b/>
                <w:bCs/>
              </w:rPr>
            </w:pPr>
          </w:p>
        </w:tc>
      </w:tr>
      <w:tr w:rsidR="00BF2E85" w14:paraId="14BB8B37" w14:textId="77777777" w:rsidTr="00751CFE">
        <w:tc>
          <w:tcPr>
            <w:tcW w:w="10278" w:type="dxa"/>
            <w:shd w:val="clear" w:color="auto" w:fill="D9E2F3" w:themeFill="accent1" w:themeFillTint="33"/>
          </w:tcPr>
          <w:p w14:paraId="017586A8" w14:textId="77777777" w:rsidR="00BF2E85" w:rsidRDefault="00BF2E85" w:rsidP="00751CFE">
            <w:pPr>
              <w:rPr>
                <w:b/>
                <w:bCs/>
              </w:rPr>
            </w:pPr>
            <w:r>
              <w:rPr>
                <w:b/>
                <w:bCs/>
              </w:rPr>
              <w:t>Voorgenomen acties relatie werkplan ‘De revalidatiearts 2025’</w:t>
            </w:r>
          </w:p>
        </w:tc>
      </w:tr>
      <w:tr w:rsidR="00BF2E85" w14:paraId="42EE077A" w14:textId="77777777" w:rsidTr="00751CFE">
        <w:tc>
          <w:tcPr>
            <w:tcW w:w="10278" w:type="dxa"/>
          </w:tcPr>
          <w:p w14:paraId="79D86896" w14:textId="77777777" w:rsidR="00BF2E85" w:rsidRPr="00D27B75" w:rsidRDefault="00BF2E85" w:rsidP="00751CFE">
            <w:pPr>
              <w:ind w:right="1"/>
              <w:rPr>
                <w:rFonts w:cs="Arial"/>
              </w:rPr>
            </w:pPr>
            <w:r>
              <w:rPr>
                <w:rFonts w:cs="Arial"/>
              </w:rPr>
              <w:t>Deelname aan diverse richtlijnen, stuurgroepen en ontwikkeling Leidraad.</w:t>
            </w:r>
          </w:p>
          <w:p w14:paraId="7E314341" w14:textId="77777777" w:rsidR="00BF2E85" w:rsidRPr="002D4230" w:rsidRDefault="00BF2E85" w:rsidP="00751CFE"/>
        </w:tc>
      </w:tr>
      <w:tr w:rsidR="00BF2E85" w14:paraId="181D714F" w14:textId="77777777" w:rsidTr="00751CFE">
        <w:tc>
          <w:tcPr>
            <w:tcW w:w="10278" w:type="dxa"/>
            <w:shd w:val="clear" w:color="auto" w:fill="D9E2F3" w:themeFill="accent1" w:themeFillTint="33"/>
          </w:tcPr>
          <w:p w14:paraId="40A1BEB1" w14:textId="77777777" w:rsidR="00BF2E85" w:rsidRDefault="00BF2E85" w:rsidP="00751CFE">
            <w:pPr>
              <w:rPr>
                <w:b/>
                <w:bCs/>
              </w:rPr>
            </w:pPr>
            <w:r>
              <w:rPr>
                <w:b/>
                <w:bCs/>
              </w:rPr>
              <w:t>Realisatie (t.b.v. het jaarverslag)</w:t>
            </w:r>
          </w:p>
        </w:tc>
      </w:tr>
      <w:tr w:rsidR="00BF2E85" w14:paraId="11A30885" w14:textId="77777777" w:rsidTr="00751CFE">
        <w:tc>
          <w:tcPr>
            <w:tcW w:w="10278" w:type="dxa"/>
          </w:tcPr>
          <w:p w14:paraId="3C90917B" w14:textId="52AC2E20" w:rsidR="00BF2E85" w:rsidRDefault="001B60CE" w:rsidP="001B60CE">
            <w:pPr>
              <w:pStyle w:val="Lijstalinea"/>
              <w:numPr>
                <w:ilvl w:val="0"/>
                <w:numId w:val="9"/>
              </w:numPr>
              <w:rPr>
                <w:sz w:val="20"/>
                <w:szCs w:val="20"/>
              </w:rPr>
            </w:pPr>
            <w:r w:rsidRPr="001B60CE">
              <w:rPr>
                <w:sz w:val="20"/>
                <w:szCs w:val="20"/>
              </w:rPr>
              <w:t>Commentaarfase van richtlijn chronische pijn is afgerond</w:t>
            </w:r>
            <w:r>
              <w:rPr>
                <w:sz w:val="20"/>
                <w:szCs w:val="20"/>
              </w:rPr>
              <w:t xml:space="preserve"> en commentaar is voorgelegd aan de werkgroep</w:t>
            </w:r>
          </w:p>
          <w:p w14:paraId="6B285380" w14:textId="73C55737" w:rsidR="001B60CE" w:rsidRDefault="001B60CE" w:rsidP="001B60CE">
            <w:pPr>
              <w:pStyle w:val="Lijstalinea"/>
              <w:numPr>
                <w:ilvl w:val="0"/>
                <w:numId w:val="9"/>
              </w:numPr>
              <w:rPr>
                <w:sz w:val="20"/>
                <w:szCs w:val="20"/>
              </w:rPr>
            </w:pPr>
            <w:r>
              <w:rPr>
                <w:sz w:val="20"/>
                <w:szCs w:val="20"/>
              </w:rPr>
              <w:t xml:space="preserve">Eerste en tweede commentaarronde van de conceptleidraad Chronische Pijn zijn geweest, commentaar is geleverd door Josemiek Pesch en René Oosterwijk. </w:t>
            </w:r>
          </w:p>
          <w:p w14:paraId="003EF605" w14:textId="2B3F8E2F" w:rsidR="00AD63F1" w:rsidRDefault="00AD63F1" w:rsidP="001B60CE">
            <w:pPr>
              <w:pStyle w:val="Lijstalinea"/>
              <w:numPr>
                <w:ilvl w:val="0"/>
                <w:numId w:val="9"/>
              </w:numPr>
              <w:rPr>
                <w:sz w:val="20"/>
                <w:szCs w:val="20"/>
              </w:rPr>
            </w:pPr>
            <w:r>
              <w:rPr>
                <w:sz w:val="20"/>
                <w:szCs w:val="20"/>
              </w:rPr>
              <w:t>Commmentaar NHG standaard Pijn – Loes Swaan en Rita Schiphorst Preuper</w:t>
            </w:r>
          </w:p>
          <w:p w14:paraId="3773DEEA" w14:textId="7505E28B" w:rsidR="00AD63F1" w:rsidRPr="006711BA" w:rsidRDefault="00AD63F1" w:rsidP="001B60CE">
            <w:pPr>
              <w:pStyle w:val="Lijstalinea"/>
              <w:numPr>
                <w:ilvl w:val="0"/>
                <w:numId w:val="9"/>
              </w:numPr>
              <w:rPr>
                <w:sz w:val="20"/>
                <w:szCs w:val="20"/>
              </w:rPr>
            </w:pPr>
            <w:r w:rsidRPr="006711BA">
              <w:rPr>
                <w:rFonts w:cstheme="minorHAnsi"/>
                <w:sz w:val="20"/>
                <w:szCs w:val="20"/>
              </w:rPr>
              <w:t>deelname klankbordgroepgroep en knelpuntenanalyse multidisciplinaire richtlijn Somatisch-symptoomstoornis- Marieke van Beugen, René Oosterwijk</w:t>
            </w:r>
          </w:p>
          <w:p w14:paraId="4F93A68A" w14:textId="7AAADB08" w:rsidR="00AD63F1" w:rsidRPr="006711BA" w:rsidRDefault="006711BA" w:rsidP="001B60CE">
            <w:pPr>
              <w:pStyle w:val="Lijstalinea"/>
              <w:numPr>
                <w:ilvl w:val="0"/>
                <w:numId w:val="9"/>
              </w:numPr>
              <w:rPr>
                <w:sz w:val="20"/>
                <w:szCs w:val="20"/>
              </w:rPr>
            </w:pPr>
            <w:r w:rsidRPr="006711BA">
              <w:rPr>
                <w:rFonts w:cstheme="minorHAnsi"/>
                <w:sz w:val="20"/>
                <w:szCs w:val="20"/>
              </w:rPr>
              <w:t>Commentaarfase Richtlijn Cervicaal Radiculair Syndroom – Jan Groenewegen</w:t>
            </w:r>
          </w:p>
          <w:p w14:paraId="1129F4DA" w14:textId="77777777" w:rsidR="00BF2E85" w:rsidRDefault="00BF2E85" w:rsidP="00751CFE">
            <w:pPr>
              <w:rPr>
                <w:b/>
                <w:bCs/>
              </w:rPr>
            </w:pPr>
          </w:p>
        </w:tc>
      </w:tr>
    </w:tbl>
    <w:p w14:paraId="368A8812" w14:textId="77777777" w:rsidR="00BF2E85" w:rsidRDefault="00BF2E85" w:rsidP="00BF2E85">
      <w:pPr>
        <w:rPr>
          <w:b/>
          <w:bCs/>
        </w:rPr>
      </w:pPr>
    </w:p>
    <w:p w14:paraId="7B92E564" w14:textId="77777777" w:rsidR="00BF2E85" w:rsidRDefault="00BF2E85" w:rsidP="00BF2E85">
      <w:pPr>
        <w:rPr>
          <w:b/>
          <w:bCs/>
        </w:rPr>
      </w:pPr>
    </w:p>
    <w:p w14:paraId="4D7718C6" w14:textId="77777777" w:rsidR="00BF2E85" w:rsidRPr="009050C3" w:rsidRDefault="00BF2E85" w:rsidP="00BF2E85">
      <w:pPr>
        <w:tabs>
          <w:tab w:val="left" w:pos="10773"/>
        </w:tabs>
        <w:rPr>
          <w:b/>
        </w:rPr>
      </w:pPr>
      <w:r w:rsidRPr="00E36F6D">
        <w:rPr>
          <w:b/>
          <w:sz w:val="24"/>
          <w:szCs w:val="24"/>
        </w:rPr>
        <w:t>Resultaatmeting</w:t>
      </w:r>
    </w:p>
    <w:p w14:paraId="6CFE500C" w14:textId="77777777" w:rsidR="00BF2E85" w:rsidRDefault="00BF2E85" w:rsidP="00BF2E85">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BF2E85" w14:paraId="27256B06" w14:textId="77777777" w:rsidTr="00751CFE">
        <w:tc>
          <w:tcPr>
            <w:tcW w:w="10278" w:type="dxa"/>
            <w:shd w:val="clear" w:color="auto" w:fill="D9E2F3" w:themeFill="accent1" w:themeFillTint="33"/>
          </w:tcPr>
          <w:p w14:paraId="7351E0AE" w14:textId="77777777" w:rsidR="00BF2E85" w:rsidRDefault="00BF2E85" w:rsidP="00751CFE">
            <w:pPr>
              <w:rPr>
                <w:b/>
                <w:bCs/>
              </w:rPr>
            </w:pPr>
            <w:r>
              <w:rPr>
                <w:b/>
                <w:bCs/>
              </w:rPr>
              <w:t>Doelen</w:t>
            </w:r>
          </w:p>
        </w:tc>
      </w:tr>
      <w:tr w:rsidR="00BF2E85" w14:paraId="5685451C" w14:textId="77777777" w:rsidTr="00751CFE">
        <w:tc>
          <w:tcPr>
            <w:tcW w:w="10278" w:type="dxa"/>
          </w:tcPr>
          <w:p w14:paraId="618789BD" w14:textId="77777777" w:rsidR="00BF2E85" w:rsidRPr="00B42D58" w:rsidRDefault="00BF2E85" w:rsidP="00BF2E85">
            <w:pPr>
              <w:pStyle w:val="Lijstalinea"/>
              <w:numPr>
                <w:ilvl w:val="0"/>
                <w:numId w:val="3"/>
              </w:numPr>
              <w:tabs>
                <w:tab w:val="left" w:pos="10773"/>
              </w:tabs>
              <w:rPr>
                <w:sz w:val="20"/>
                <w:szCs w:val="20"/>
              </w:rPr>
            </w:pPr>
            <w:r w:rsidRPr="00B42D58">
              <w:rPr>
                <w:sz w:val="20"/>
                <w:szCs w:val="20"/>
              </w:rPr>
              <w:t>Implementatie Ned Dataset Pijnrevalidatie</w:t>
            </w:r>
            <w:r>
              <w:rPr>
                <w:sz w:val="20"/>
                <w:szCs w:val="20"/>
              </w:rPr>
              <w:t xml:space="preserve"> 2.0</w:t>
            </w:r>
          </w:p>
          <w:p w14:paraId="27BBF938" w14:textId="77777777" w:rsidR="00BF2E85" w:rsidRPr="00B42D58" w:rsidRDefault="00BF2E85" w:rsidP="00BF2E85">
            <w:pPr>
              <w:pStyle w:val="Lijstalinea"/>
              <w:numPr>
                <w:ilvl w:val="0"/>
                <w:numId w:val="1"/>
              </w:numPr>
              <w:tabs>
                <w:tab w:val="left" w:pos="10773"/>
              </w:tabs>
              <w:rPr>
                <w:sz w:val="20"/>
                <w:szCs w:val="20"/>
              </w:rPr>
            </w:pPr>
            <w:r w:rsidRPr="00B42D58">
              <w:rPr>
                <w:sz w:val="20"/>
                <w:szCs w:val="20"/>
              </w:rPr>
              <w:t xml:space="preserve">Ontwikkelen structuur- en kwaliteitsindicatoren conform vermeld in de Position Paper. </w:t>
            </w:r>
          </w:p>
          <w:p w14:paraId="71549FD9" w14:textId="77777777" w:rsidR="00BF2E85" w:rsidRPr="00867063" w:rsidRDefault="00BF2E85" w:rsidP="00751CFE">
            <w:pPr>
              <w:ind w:right="1"/>
              <w:rPr>
                <w:b/>
                <w:bCs/>
              </w:rPr>
            </w:pPr>
          </w:p>
        </w:tc>
      </w:tr>
      <w:tr w:rsidR="00BF2E85" w14:paraId="49A59F34" w14:textId="77777777" w:rsidTr="00751CFE">
        <w:tc>
          <w:tcPr>
            <w:tcW w:w="10278" w:type="dxa"/>
            <w:shd w:val="clear" w:color="auto" w:fill="D9E2F3" w:themeFill="accent1" w:themeFillTint="33"/>
          </w:tcPr>
          <w:p w14:paraId="51B937FC" w14:textId="77777777" w:rsidR="00BF2E85" w:rsidRDefault="00BF2E85" w:rsidP="00751CFE">
            <w:pPr>
              <w:rPr>
                <w:b/>
                <w:bCs/>
              </w:rPr>
            </w:pPr>
            <w:r>
              <w:rPr>
                <w:b/>
                <w:bCs/>
              </w:rPr>
              <w:t>Voorgenomen acties relatie werkplan ‘De revalidatiearts 2025’</w:t>
            </w:r>
          </w:p>
        </w:tc>
      </w:tr>
      <w:tr w:rsidR="00BF2E85" w14:paraId="0F300FFD" w14:textId="77777777" w:rsidTr="00751CFE">
        <w:tc>
          <w:tcPr>
            <w:tcW w:w="10278" w:type="dxa"/>
          </w:tcPr>
          <w:p w14:paraId="71D973DE" w14:textId="77777777" w:rsidR="00BF2E85" w:rsidRPr="002D4230" w:rsidRDefault="00BF2E85" w:rsidP="00751CFE"/>
          <w:p w14:paraId="3E3EEDA8" w14:textId="77777777" w:rsidR="00BF2E85" w:rsidRPr="002D4230" w:rsidRDefault="00BF2E85" w:rsidP="00751CFE"/>
        </w:tc>
      </w:tr>
      <w:tr w:rsidR="00BF2E85" w14:paraId="1A368525" w14:textId="77777777" w:rsidTr="00751CFE">
        <w:tc>
          <w:tcPr>
            <w:tcW w:w="10278" w:type="dxa"/>
            <w:shd w:val="clear" w:color="auto" w:fill="D9E2F3" w:themeFill="accent1" w:themeFillTint="33"/>
          </w:tcPr>
          <w:p w14:paraId="41E21B1A" w14:textId="77777777" w:rsidR="00BF2E85" w:rsidRDefault="00BF2E85" w:rsidP="00751CFE">
            <w:pPr>
              <w:rPr>
                <w:b/>
                <w:bCs/>
              </w:rPr>
            </w:pPr>
            <w:r>
              <w:rPr>
                <w:b/>
                <w:bCs/>
              </w:rPr>
              <w:t>Realisatie (t.b.v. het jaarverslag)</w:t>
            </w:r>
          </w:p>
        </w:tc>
      </w:tr>
      <w:tr w:rsidR="00BF2E85" w14:paraId="1833D24B" w14:textId="77777777" w:rsidTr="00751CFE">
        <w:tc>
          <w:tcPr>
            <w:tcW w:w="10278" w:type="dxa"/>
          </w:tcPr>
          <w:p w14:paraId="61C78368" w14:textId="0147D282" w:rsidR="00BF2E85" w:rsidRPr="0041309B" w:rsidRDefault="0041309B" w:rsidP="00AD63F1">
            <w:pPr>
              <w:pStyle w:val="Lijstalinea"/>
              <w:numPr>
                <w:ilvl w:val="0"/>
                <w:numId w:val="9"/>
              </w:numPr>
              <w:rPr>
                <w:b/>
                <w:bCs/>
              </w:rPr>
            </w:pPr>
            <w:r>
              <w:rPr>
                <w:sz w:val="20"/>
                <w:szCs w:val="20"/>
              </w:rPr>
              <w:t xml:space="preserve">De centra zijn bezig met </w:t>
            </w:r>
            <w:r w:rsidR="00AD63F1">
              <w:rPr>
                <w:sz w:val="20"/>
                <w:szCs w:val="20"/>
              </w:rPr>
              <w:t xml:space="preserve">implementatie van de NDP 2.0. </w:t>
            </w:r>
          </w:p>
          <w:p w14:paraId="724860FE" w14:textId="6D765081" w:rsidR="0041309B" w:rsidRPr="0041309B" w:rsidRDefault="0041309B" w:rsidP="00AD63F1">
            <w:pPr>
              <w:pStyle w:val="Lijstalinea"/>
              <w:numPr>
                <w:ilvl w:val="0"/>
                <w:numId w:val="9"/>
              </w:numPr>
              <w:rPr>
                <w:b/>
                <w:bCs/>
                <w:sz w:val="20"/>
                <w:szCs w:val="20"/>
              </w:rPr>
            </w:pPr>
            <w:r w:rsidRPr="0041309B">
              <w:rPr>
                <w:sz w:val="20"/>
                <w:szCs w:val="20"/>
              </w:rPr>
              <w:t>er is een werkgroepje gestart met inventarisatie NDP 2.0 ivm Revalidatie Impact in het kader van toewerken naar NDP 3.0</w:t>
            </w:r>
          </w:p>
          <w:p w14:paraId="399EB288" w14:textId="720EB611" w:rsidR="00AD63F1" w:rsidRPr="00AD63F1" w:rsidRDefault="00AD63F1" w:rsidP="0041309B">
            <w:pPr>
              <w:pStyle w:val="Lijstalinea"/>
              <w:rPr>
                <w:b/>
                <w:bCs/>
              </w:rPr>
            </w:pPr>
          </w:p>
        </w:tc>
      </w:tr>
    </w:tbl>
    <w:p w14:paraId="17173448" w14:textId="77777777" w:rsidR="00BF2E85" w:rsidRDefault="00BF2E85" w:rsidP="00BF2E85">
      <w:pPr>
        <w:rPr>
          <w:b/>
          <w:bCs/>
        </w:rPr>
      </w:pPr>
    </w:p>
    <w:p w14:paraId="703D6800" w14:textId="77777777" w:rsidR="00BF2E85" w:rsidRDefault="00BF2E85" w:rsidP="00BF2E85">
      <w:pPr>
        <w:rPr>
          <w:b/>
          <w:bCs/>
        </w:rPr>
      </w:pPr>
    </w:p>
    <w:p w14:paraId="7ECBAA87" w14:textId="77777777" w:rsidR="00BF2E85" w:rsidRPr="00E36F6D" w:rsidRDefault="00BF2E85" w:rsidP="00BF2E85">
      <w:pPr>
        <w:tabs>
          <w:tab w:val="left" w:pos="10773"/>
        </w:tabs>
        <w:rPr>
          <w:b/>
          <w:sz w:val="24"/>
          <w:szCs w:val="24"/>
        </w:rPr>
      </w:pPr>
      <w:r w:rsidRPr="00E36F6D">
        <w:rPr>
          <w:b/>
          <w:sz w:val="24"/>
          <w:szCs w:val="24"/>
        </w:rPr>
        <w:t>Wetenschappelijke activiteiten</w:t>
      </w:r>
    </w:p>
    <w:p w14:paraId="6659F7D9" w14:textId="77777777" w:rsidR="00BF2E85" w:rsidRDefault="00BF2E85" w:rsidP="00BF2E85">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BF2E85" w14:paraId="4BA9FE15" w14:textId="77777777" w:rsidTr="00751CFE">
        <w:trPr>
          <w:trHeight w:val="439"/>
        </w:trPr>
        <w:tc>
          <w:tcPr>
            <w:tcW w:w="10278" w:type="dxa"/>
            <w:shd w:val="clear" w:color="auto" w:fill="D9E2F3" w:themeFill="accent1" w:themeFillTint="33"/>
          </w:tcPr>
          <w:p w14:paraId="248634F2" w14:textId="77777777" w:rsidR="00BF2E85" w:rsidRDefault="00BF2E85" w:rsidP="00751CFE">
            <w:pPr>
              <w:rPr>
                <w:b/>
                <w:bCs/>
              </w:rPr>
            </w:pPr>
            <w:r>
              <w:rPr>
                <w:b/>
                <w:bCs/>
              </w:rPr>
              <w:t>Doelen</w:t>
            </w:r>
          </w:p>
        </w:tc>
      </w:tr>
      <w:tr w:rsidR="00BF2E85" w14:paraId="4D5A5B1D" w14:textId="77777777" w:rsidTr="00751CFE">
        <w:tc>
          <w:tcPr>
            <w:tcW w:w="10278" w:type="dxa"/>
          </w:tcPr>
          <w:p w14:paraId="5385411F" w14:textId="77777777" w:rsidR="00BF2E85" w:rsidRPr="00FB34F3" w:rsidRDefault="00BF2E85" w:rsidP="00BF2E85">
            <w:pPr>
              <w:pStyle w:val="Lijstalinea"/>
              <w:numPr>
                <w:ilvl w:val="0"/>
                <w:numId w:val="7"/>
              </w:numPr>
              <w:rPr>
                <w:sz w:val="20"/>
                <w:szCs w:val="20"/>
              </w:rPr>
            </w:pPr>
            <w:r w:rsidRPr="00FB34F3">
              <w:rPr>
                <w:sz w:val="20"/>
                <w:szCs w:val="20"/>
              </w:rPr>
              <w:t xml:space="preserve">Complexiteit van Chronische pijn (SKMS): deze onderzoeksvraag wordt jaarlijks ingediend, helaas nog niet geaccordeerd. </w:t>
            </w:r>
          </w:p>
          <w:p w14:paraId="3A2025C4" w14:textId="77777777" w:rsidR="00BF2E85" w:rsidRPr="00FB34F3" w:rsidRDefault="00BF2E85" w:rsidP="00BF2E85">
            <w:pPr>
              <w:pStyle w:val="Lijstalinea"/>
              <w:numPr>
                <w:ilvl w:val="0"/>
                <w:numId w:val="7"/>
              </w:numPr>
              <w:tabs>
                <w:tab w:val="left" w:pos="10773"/>
              </w:tabs>
              <w:rPr>
                <w:sz w:val="20"/>
                <w:szCs w:val="20"/>
              </w:rPr>
            </w:pPr>
            <w:r w:rsidRPr="00FB34F3">
              <w:rPr>
                <w:sz w:val="20"/>
                <w:szCs w:val="20"/>
              </w:rPr>
              <w:t>Organiseren WPN dag</w:t>
            </w:r>
          </w:p>
          <w:p w14:paraId="7E55B26E" w14:textId="77777777" w:rsidR="00BF2E85" w:rsidRPr="00FB34F3" w:rsidRDefault="00BF2E85" w:rsidP="00BF2E85">
            <w:pPr>
              <w:pStyle w:val="Lijstalinea"/>
              <w:numPr>
                <w:ilvl w:val="0"/>
                <w:numId w:val="7"/>
              </w:numPr>
              <w:tabs>
                <w:tab w:val="left" w:pos="10773"/>
              </w:tabs>
              <w:rPr>
                <w:sz w:val="20"/>
                <w:szCs w:val="20"/>
              </w:rPr>
            </w:pPr>
            <w:r w:rsidRPr="00FB34F3">
              <w:rPr>
                <w:sz w:val="20"/>
                <w:szCs w:val="20"/>
              </w:rPr>
              <w:t>Nationaal congres PA!N 2023</w:t>
            </w:r>
          </w:p>
          <w:p w14:paraId="38AB2B2F" w14:textId="77777777" w:rsidR="00BF2E85" w:rsidRPr="00FB34F3" w:rsidRDefault="00BF2E85" w:rsidP="00BF2E85">
            <w:pPr>
              <w:pStyle w:val="Lijstalinea"/>
              <w:numPr>
                <w:ilvl w:val="0"/>
                <w:numId w:val="7"/>
              </w:numPr>
              <w:tabs>
                <w:tab w:val="left" w:pos="10773"/>
              </w:tabs>
              <w:rPr>
                <w:sz w:val="20"/>
                <w:szCs w:val="20"/>
              </w:rPr>
            </w:pPr>
            <w:r w:rsidRPr="00FB34F3">
              <w:rPr>
                <w:sz w:val="20"/>
                <w:szCs w:val="20"/>
              </w:rPr>
              <w:t>Voordrachten/posterpresentaties op nationale en internationale congressen, internationale publicaties</w:t>
            </w:r>
          </w:p>
          <w:p w14:paraId="19A4826B" w14:textId="77777777" w:rsidR="00BF2E85" w:rsidRPr="00FB34F3" w:rsidRDefault="00BF2E85" w:rsidP="00BF2E85">
            <w:pPr>
              <w:pStyle w:val="Lijstalinea"/>
              <w:numPr>
                <w:ilvl w:val="0"/>
                <w:numId w:val="7"/>
              </w:numPr>
              <w:tabs>
                <w:tab w:val="left" w:pos="10773"/>
              </w:tabs>
              <w:rPr>
                <w:sz w:val="20"/>
                <w:szCs w:val="20"/>
              </w:rPr>
            </w:pPr>
            <w:r w:rsidRPr="00FB34F3">
              <w:rPr>
                <w:sz w:val="20"/>
                <w:szCs w:val="20"/>
              </w:rPr>
              <w:t>Samenwerking t.b.v. wetenschappelijke projecten</w:t>
            </w:r>
          </w:p>
          <w:p w14:paraId="572BFC44" w14:textId="77777777" w:rsidR="00BF2E85" w:rsidRPr="002D4230" w:rsidRDefault="00BF2E85" w:rsidP="00751CFE"/>
          <w:p w14:paraId="4D799BC9" w14:textId="77777777" w:rsidR="00BF2E85" w:rsidRDefault="00BF2E85" w:rsidP="00751CFE">
            <w:pPr>
              <w:rPr>
                <w:b/>
                <w:bCs/>
              </w:rPr>
            </w:pPr>
          </w:p>
        </w:tc>
      </w:tr>
      <w:tr w:rsidR="00BF2E85" w14:paraId="5698B282" w14:textId="77777777" w:rsidTr="00751CFE">
        <w:tc>
          <w:tcPr>
            <w:tcW w:w="10278" w:type="dxa"/>
            <w:shd w:val="clear" w:color="auto" w:fill="D9E2F3" w:themeFill="accent1" w:themeFillTint="33"/>
          </w:tcPr>
          <w:p w14:paraId="1E66535C" w14:textId="77777777" w:rsidR="00BF2E85" w:rsidRDefault="00BF2E85" w:rsidP="00751CFE">
            <w:pPr>
              <w:rPr>
                <w:b/>
                <w:bCs/>
              </w:rPr>
            </w:pPr>
            <w:r>
              <w:rPr>
                <w:b/>
                <w:bCs/>
              </w:rPr>
              <w:t>Voorgenomen acties relatie werkplan ‘De revalidatiearts 2025’</w:t>
            </w:r>
          </w:p>
        </w:tc>
      </w:tr>
      <w:tr w:rsidR="00BF2E85" w14:paraId="4927B46D" w14:textId="77777777" w:rsidTr="00751CFE">
        <w:tc>
          <w:tcPr>
            <w:tcW w:w="10278" w:type="dxa"/>
          </w:tcPr>
          <w:p w14:paraId="3B050702" w14:textId="77777777" w:rsidR="00BF2E85" w:rsidRPr="002D4230" w:rsidRDefault="00BF2E85" w:rsidP="00751CFE"/>
          <w:p w14:paraId="4AEAB324" w14:textId="77777777" w:rsidR="00BF2E85" w:rsidRPr="002D4230" w:rsidRDefault="00BF2E85" w:rsidP="00751CFE"/>
          <w:p w14:paraId="28E736A2" w14:textId="77777777" w:rsidR="00BF2E85" w:rsidRPr="002D4230" w:rsidRDefault="00BF2E85" w:rsidP="00751CFE"/>
        </w:tc>
      </w:tr>
      <w:tr w:rsidR="00BF2E85" w14:paraId="553247D3" w14:textId="77777777" w:rsidTr="00751CFE">
        <w:tc>
          <w:tcPr>
            <w:tcW w:w="10278" w:type="dxa"/>
            <w:shd w:val="clear" w:color="auto" w:fill="D9E2F3" w:themeFill="accent1" w:themeFillTint="33"/>
          </w:tcPr>
          <w:p w14:paraId="13418FB1" w14:textId="77777777" w:rsidR="00BF2E85" w:rsidRDefault="00BF2E85" w:rsidP="00751CFE">
            <w:pPr>
              <w:rPr>
                <w:b/>
                <w:bCs/>
              </w:rPr>
            </w:pPr>
            <w:r>
              <w:rPr>
                <w:b/>
                <w:bCs/>
              </w:rPr>
              <w:lastRenderedPageBreak/>
              <w:t>Realisatie (t.b.v. het jaarverslag)</w:t>
            </w:r>
          </w:p>
        </w:tc>
      </w:tr>
      <w:tr w:rsidR="00BF2E85" w14:paraId="15C5ACB0" w14:textId="77777777" w:rsidTr="00751CFE">
        <w:tc>
          <w:tcPr>
            <w:tcW w:w="10278" w:type="dxa"/>
          </w:tcPr>
          <w:p w14:paraId="5A716A7A" w14:textId="2A520A23" w:rsidR="00AD63F1" w:rsidRPr="00AD63F1" w:rsidRDefault="00AD63F1" w:rsidP="00AD63F1">
            <w:pPr>
              <w:pStyle w:val="Lijstalinea"/>
              <w:numPr>
                <w:ilvl w:val="0"/>
                <w:numId w:val="9"/>
              </w:numPr>
            </w:pPr>
            <w:r>
              <w:rPr>
                <w:sz w:val="20"/>
                <w:szCs w:val="20"/>
              </w:rPr>
              <w:t xml:space="preserve">WPN dag is niet georganiseerd door problemen rondom financien. </w:t>
            </w:r>
          </w:p>
          <w:p w14:paraId="074850C1" w14:textId="31C14521" w:rsidR="00AD63F1" w:rsidRPr="00AD63F1" w:rsidRDefault="00AD63F1" w:rsidP="00AD63F1">
            <w:pPr>
              <w:pStyle w:val="Lijstalinea"/>
              <w:numPr>
                <w:ilvl w:val="0"/>
                <w:numId w:val="9"/>
              </w:numPr>
            </w:pPr>
            <w:r>
              <w:rPr>
                <w:sz w:val="20"/>
                <w:szCs w:val="20"/>
              </w:rPr>
              <w:t xml:space="preserve">Op 18 december 2023 vond het nationale PA!N congres over leefstijl plaats. </w:t>
            </w:r>
          </w:p>
          <w:p w14:paraId="4BEF16CE" w14:textId="06E85B08" w:rsidR="00AD63F1" w:rsidRPr="002D4230" w:rsidRDefault="00AD63F1" w:rsidP="00AD63F1">
            <w:pPr>
              <w:pStyle w:val="Lijstalinea"/>
              <w:numPr>
                <w:ilvl w:val="0"/>
                <w:numId w:val="9"/>
              </w:numPr>
            </w:pPr>
            <w:r>
              <w:rPr>
                <w:sz w:val="20"/>
                <w:szCs w:val="20"/>
              </w:rPr>
              <w:t xml:space="preserve">De leden van de WPN hebben diverse voordrachten en posterpresentaties op nationale en internationale congressen gehouden. </w:t>
            </w:r>
          </w:p>
          <w:p w14:paraId="120CF2A7" w14:textId="77777777" w:rsidR="00BF2E85" w:rsidRDefault="00BF2E85" w:rsidP="00751CFE">
            <w:pPr>
              <w:rPr>
                <w:b/>
                <w:bCs/>
              </w:rPr>
            </w:pPr>
          </w:p>
        </w:tc>
      </w:tr>
    </w:tbl>
    <w:p w14:paraId="5B7EA25E" w14:textId="77777777" w:rsidR="00BF2E85" w:rsidRDefault="00BF2E85" w:rsidP="00BF2E85">
      <w:pPr>
        <w:rPr>
          <w:b/>
          <w:bCs/>
        </w:rPr>
      </w:pPr>
    </w:p>
    <w:p w14:paraId="2427E676" w14:textId="77777777" w:rsidR="00BF2E85" w:rsidRDefault="00BF2E85" w:rsidP="00BF2E85">
      <w:pPr>
        <w:rPr>
          <w:b/>
          <w:bCs/>
        </w:rPr>
      </w:pPr>
      <w:r>
        <w:rPr>
          <w:b/>
          <w:bCs/>
        </w:rPr>
        <w:br w:type="page"/>
      </w:r>
    </w:p>
    <w:p w14:paraId="29C10F71" w14:textId="77777777" w:rsidR="00BF2E85" w:rsidRPr="00E36F6D" w:rsidRDefault="00BF2E85" w:rsidP="00BF2E85">
      <w:pPr>
        <w:tabs>
          <w:tab w:val="left" w:pos="10773"/>
        </w:tabs>
        <w:rPr>
          <w:b/>
          <w:sz w:val="24"/>
          <w:szCs w:val="24"/>
        </w:rPr>
      </w:pPr>
      <w:r w:rsidRPr="00E36F6D">
        <w:rPr>
          <w:b/>
          <w:sz w:val="24"/>
          <w:szCs w:val="24"/>
        </w:rPr>
        <w:lastRenderedPageBreak/>
        <w:t>Deskundigheidsbevordering/onderwijs</w:t>
      </w:r>
    </w:p>
    <w:p w14:paraId="6E7A1BF8" w14:textId="77777777" w:rsidR="00BF2E85" w:rsidRDefault="00BF2E85" w:rsidP="00BF2E85">
      <w:pPr>
        <w:tabs>
          <w:tab w:val="left" w:pos="10773"/>
        </w:tabs>
        <w:rPr>
          <w:i/>
        </w:rPr>
      </w:pPr>
      <w:r>
        <w:rPr>
          <w:i/>
        </w:rPr>
        <w:t>D</w:t>
      </w:r>
      <w:r w:rsidRPr="009050C3">
        <w:rPr>
          <w:i/>
        </w:rPr>
        <w:t>enk aan:</w:t>
      </w:r>
      <w:r>
        <w:rPr>
          <w:i/>
        </w:rPr>
        <w:t xml:space="preserve"> O</w:t>
      </w:r>
      <w:r w:rsidRPr="009050C3">
        <w:rPr>
          <w:i/>
        </w:rPr>
        <w:t>pleiding aios</w:t>
      </w:r>
      <w:r>
        <w:rPr>
          <w:i/>
        </w:rPr>
        <w:t>; Nascholing revalidatieartsen; Workshop tijdens DCRM</w:t>
      </w:r>
    </w:p>
    <w:tbl>
      <w:tblPr>
        <w:tblStyle w:val="Tabelraster"/>
        <w:tblW w:w="0" w:type="auto"/>
        <w:tblLook w:val="04A0" w:firstRow="1" w:lastRow="0" w:firstColumn="1" w:lastColumn="0" w:noHBand="0" w:noVBand="1"/>
      </w:tblPr>
      <w:tblGrid>
        <w:gridCol w:w="10278"/>
      </w:tblGrid>
      <w:tr w:rsidR="00BF2E85" w14:paraId="73F4B177" w14:textId="77777777" w:rsidTr="00751CFE">
        <w:tc>
          <w:tcPr>
            <w:tcW w:w="10278" w:type="dxa"/>
            <w:shd w:val="clear" w:color="auto" w:fill="D9E2F3" w:themeFill="accent1" w:themeFillTint="33"/>
          </w:tcPr>
          <w:p w14:paraId="5D8FE297" w14:textId="77777777" w:rsidR="00BF2E85" w:rsidRDefault="00BF2E85" w:rsidP="00751CFE">
            <w:pPr>
              <w:rPr>
                <w:b/>
                <w:bCs/>
              </w:rPr>
            </w:pPr>
            <w:r>
              <w:rPr>
                <w:b/>
                <w:bCs/>
              </w:rPr>
              <w:t>Doelen</w:t>
            </w:r>
          </w:p>
        </w:tc>
      </w:tr>
      <w:tr w:rsidR="00BF2E85" w14:paraId="6FD26FBC" w14:textId="77777777" w:rsidTr="00751CFE">
        <w:tc>
          <w:tcPr>
            <w:tcW w:w="10278" w:type="dxa"/>
          </w:tcPr>
          <w:p w14:paraId="0D4910AE" w14:textId="77777777" w:rsidR="00BF2E85" w:rsidRPr="00FB34F3" w:rsidRDefault="00BF2E85" w:rsidP="00BF2E85">
            <w:pPr>
              <w:pStyle w:val="Lijstalinea"/>
              <w:numPr>
                <w:ilvl w:val="0"/>
                <w:numId w:val="4"/>
              </w:numPr>
              <w:tabs>
                <w:tab w:val="left" w:pos="10773"/>
              </w:tabs>
              <w:ind w:left="360"/>
              <w:rPr>
                <w:sz w:val="20"/>
                <w:szCs w:val="20"/>
              </w:rPr>
            </w:pPr>
            <w:r w:rsidRPr="00FB34F3">
              <w:rPr>
                <w:sz w:val="20"/>
                <w:szCs w:val="20"/>
              </w:rPr>
              <w:t>Basiscursus Pijnrevalidatie 202</w:t>
            </w:r>
            <w:r>
              <w:rPr>
                <w:sz w:val="20"/>
                <w:szCs w:val="20"/>
              </w:rPr>
              <w:t>3</w:t>
            </w:r>
          </w:p>
          <w:p w14:paraId="47118CCC" w14:textId="77777777" w:rsidR="00BF2E85" w:rsidRPr="00FB34F3" w:rsidRDefault="00BF2E85" w:rsidP="00BF2E85">
            <w:pPr>
              <w:pStyle w:val="Lijstalinea"/>
              <w:numPr>
                <w:ilvl w:val="0"/>
                <w:numId w:val="4"/>
              </w:numPr>
              <w:tabs>
                <w:tab w:val="left" w:pos="10773"/>
              </w:tabs>
              <w:ind w:left="360"/>
              <w:rPr>
                <w:sz w:val="20"/>
                <w:szCs w:val="20"/>
              </w:rPr>
            </w:pPr>
            <w:r w:rsidRPr="00FB34F3">
              <w:rPr>
                <w:sz w:val="20"/>
                <w:szCs w:val="20"/>
              </w:rPr>
              <w:t>Inhoudelijke bijdrage vanuit de WPN leden bij de stages Pijnrevalidatie in de opleiding van de aios. Leerplan. Uitbreiden etalage stages.</w:t>
            </w:r>
          </w:p>
          <w:p w14:paraId="075340AF" w14:textId="77777777" w:rsidR="00BF2E85" w:rsidRPr="00FB34F3" w:rsidRDefault="00BF2E85" w:rsidP="00BF2E85">
            <w:pPr>
              <w:pStyle w:val="Lijstalinea"/>
              <w:numPr>
                <w:ilvl w:val="0"/>
                <w:numId w:val="4"/>
              </w:numPr>
              <w:tabs>
                <w:tab w:val="left" w:pos="10773"/>
              </w:tabs>
              <w:ind w:left="360"/>
              <w:rPr>
                <w:sz w:val="20"/>
                <w:szCs w:val="20"/>
              </w:rPr>
            </w:pPr>
            <w:r w:rsidRPr="00FB34F3">
              <w:rPr>
                <w:sz w:val="20"/>
                <w:szCs w:val="20"/>
              </w:rPr>
              <w:t>Workshop Pijnrevalidatie najaarscongres DCRM</w:t>
            </w:r>
          </w:p>
          <w:p w14:paraId="1FE5337F" w14:textId="77777777" w:rsidR="00BF2E85" w:rsidRPr="00FB34F3" w:rsidRDefault="00BF2E85" w:rsidP="00BF2E85">
            <w:pPr>
              <w:pStyle w:val="Lijstalinea"/>
              <w:numPr>
                <w:ilvl w:val="0"/>
                <w:numId w:val="4"/>
              </w:numPr>
              <w:tabs>
                <w:tab w:val="left" w:pos="10773"/>
              </w:tabs>
              <w:ind w:left="360"/>
              <w:rPr>
                <w:sz w:val="20"/>
                <w:szCs w:val="20"/>
              </w:rPr>
            </w:pPr>
            <w:r w:rsidRPr="00FB34F3">
              <w:rPr>
                <w:sz w:val="20"/>
                <w:szCs w:val="20"/>
              </w:rPr>
              <w:t>Nascholing Revalidatieartsen in de regio</w:t>
            </w:r>
          </w:p>
          <w:p w14:paraId="36F55246" w14:textId="77777777" w:rsidR="00BF2E85" w:rsidRPr="00FB34F3" w:rsidRDefault="00BF2E85" w:rsidP="00BF2E85">
            <w:pPr>
              <w:pStyle w:val="Lijstalinea"/>
              <w:numPr>
                <w:ilvl w:val="0"/>
                <w:numId w:val="4"/>
              </w:numPr>
              <w:tabs>
                <w:tab w:val="left" w:pos="10773"/>
              </w:tabs>
              <w:ind w:left="360"/>
              <w:rPr>
                <w:sz w:val="20"/>
                <w:szCs w:val="20"/>
              </w:rPr>
            </w:pPr>
            <w:r w:rsidRPr="00FB34F3">
              <w:rPr>
                <w:color w:val="000000"/>
                <w:sz w:val="20"/>
                <w:szCs w:val="20"/>
              </w:rPr>
              <w:t>Gezamenlijke educatie ontwikkelen, de expertisecentra/website</w:t>
            </w:r>
          </w:p>
          <w:p w14:paraId="7C6217AD" w14:textId="77777777" w:rsidR="00BF2E85" w:rsidRPr="002D4230" w:rsidRDefault="00BF2E85" w:rsidP="00751CFE"/>
          <w:p w14:paraId="5A33364A" w14:textId="77777777" w:rsidR="00BF2E85" w:rsidRPr="002D4230" w:rsidRDefault="00BF2E85" w:rsidP="00751CFE"/>
          <w:p w14:paraId="79B6AB31" w14:textId="77777777" w:rsidR="00BF2E85" w:rsidRDefault="00BF2E85" w:rsidP="00751CFE">
            <w:pPr>
              <w:rPr>
                <w:b/>
                <w:bCs/>
              </w:rPr>
            </w:pPr>
          </w:p>
        </w:tc>
      </w:tr>
      <w:tr w:rsidR="00BF2E85" w14:paraId="0A065A16" w14:textId="77777777" w:rsidTr="00751CFE">
        <w:tc>
          <w:tcPr>
            <w:tcW w:w="10278" w:type="dxa"/>
            <w:shd w:val="clear" w:color="auto" w:fill="D9E2F3" w:themeFill="accent1" w:themeFillTint="33"/>
          </w:tcPr>
          <w:p w14:paraId="77155FBA" w14:textId="77777777" w:rsidR="00BF2E85" w:rsidRDefault="00BF2E85" w:rsidP="00751CFE">
            <w:pPr>
              <w:rPr>
                <w:b/>
                <w:bCs/>
              </w:rPr>
            </w:pPr>
            <w:r>
              <w:rPr>
                <w:b/>
                <w:bCs/>
              </w:rPr>
              <w:t>Voorgenomen acties relatie werkplan ‘De revalidatiearts 2025’</w:t>
            </w:r>
          </w:p>
        </w:tc>
      </w:tr>
      <w:tr w:rsidR="00BF2E85" w14:paraId="2F7355BF" w14:textId="77777777" w:rsidTr="00751CFE">
        <w:tc>
          <w:tcPr>
            <w:tcW w:w="10278" w:type="dxa"/>
          </w:tcPr>
          <w:p w14:paraId="30BAA6AE" w14:textId="77777777" w:rsidR="00BF2E85" w:rsidRPr="002D4230" w:rsidRDefault="00BF2E85" w:rsidP="00751CFE"/>
          <w:p w14:paraId="03992CE4" w14:textId="77777777" w:rsidR="00BF2E85" w:rsidRPr="002D4230" w:rsidRDefault="00BF2E85" w:rsidP="00751CFE"/>
          <w:p w14:paraId="265BEBD7" w14:textId="77777777" w:rsidR="00BF2E85" w:rsidRPr="002D4230" w:rsidRDefault="00BF2E85" w:rsidP="00751CFE"/>
        </w:tc>
      </w:tr>
      <w:tr w:rsidR="00BF2E85" w14:paraId="7290BE91" w14:textId="77777777" w:rsidTr="00751CFE">
        <w:tc>
          <w:tcPr>
            <w:tcW w:w="10278" w:type="dxa"/>
            <w:shd w:val="clear" w:color="auto" w:fill="D9E2F3" w:themeFill="accent1" w:themeFillTint="33"/>
          </w:tcPr>
          <w:p w14:paraId="76AD5487" w14:textId="77777777" w:rsidR="00BF2E85" w:rsidRDefault="00BF2E85" w:rsidP="00751CFE">
            <w:pPr>
              <w:rPr>
                <w:b/>
                <w:bCs/>
              </w:rPr>
            </w:pPr>
            <w:r>
              <w:rPr>
                <w:b/>
                <w:bCs/>
              </w:rPr>
              <w:t>Realisatie (t.b.v. het jaarverslag)</w:t>
            </w:r>
          </w:p>
        </w:tc>
      </w:tr>
      <w:tr w:rsidR="00BF2E85" w14:paraId="7C3811A8" w14:textId="77777777" w:rsidTr="00751CFE">
        <w:tc>
          <w:tcPr>
            <w:tcW w:w="10278" w:type="dxa"/>
          </w:tcPr>
          <w:p w14:paraId="35EBC6E0" w14:textId="2BE1B853" w:rsidR="00BF2E85" w:rsidRDefault="006711BA" w:rsidP="006711BA">
            <w:pPr>
              <w:pStyle w:val="Lijstalinea"/>
              <w:numPr>
                <w:ilvl w:val="0"/>
                <w:numId w:val="9"/>
              </w:numPr>
              <w:rPr>
                <w:sz w:val="20"/>
                <w:szCs w:val="20"/>
              </w:rPr>
            </w:pPr>
            <w:r>
              <w:rPr>
                <w:sz w:val="20"/>
                <w:szCs w:val="20"/>
              </w:rPr>
              <w:t>De basiscursus pijnrevalidatie heeft in 2023 plaatsgevonden, met goede feedback.</w:t>
            </w:r>
          </w:p>
          <w:p w14:paraId="013C4574" w14:textId="59102A10" w:rsidR="006711BA" w:rsidRPr="0041309B" w:rsidRDefault="0041309B" w:rsidP="006711BA">
            <w:pPr>
              <w:pStyle w:val="Lijstalinea"/>
              <w:numPr>
                <w:ilvl w:val="0"/>
                <w:numId w:val="9"/>
              </w:numPr>
              <w:rPr>
                <w:sz w:val="20"/>
                <w:szCs w:val="20"/>
              </w:rPr>
            </w:pPr>
            <w:r w:rsidRPr="0041309B">
              <w:rPr>
                <w:sz w:val="20"/>
                <w:szCs w:val="20"/>
              </w:rPr>
              <w:t xml:space="preserve">Workshop van WPN lid </w:t>
            </w:r>
            <w:r>
              <w:rPr>
                <w:sz w:val="20"/>
                <w:szCs w:val="20"/>
              </w:rPr>
              <w:t xml:space="preserve">(R. Smeets) </w:t>
            </w:r>
            <w:r w:rsidRPr="0041309B">
              <w:rPr>
                <w:sz w:val="20"/>
                <w:szCs w:val="20"/>
              </w:rPr>
              <w:t>op DCRM 2023</w:t>
            </w:r>
          </w:p>
          <w:p w14:paraId="79372EFB" w14:textId="092D8BF3" w:rsidR="006711BA" w:rsidRDefault="006711BA" w:rsidP="006711BA">
            <w:pPr>
              <w:pStyle w:val="Lijstalinea"/>
              <w:numPr>
                <w:ilvl w:val="0"/>
                <w:numId w:val="9"/>
              </w:numPr>
              <w:rPr>
                <w:sz w:val="20"/>
                <w:szCs w:val="20"/>
              </w:rPr>
            </w:pPr>
            <w:r w:rsidRPr="006711BA">
              <w:rPr>
                <w:sz w:val="20"/>
                <w:szCs w:val="20"/>
              </w:rPr>
              <w:t>Er zijn diverse nascholingen in de regio gegeven</w:t>
            </w:r>
          </w:p>
          <w:p w14:paraId="520EEE7F" w14:textId="448162C6" w:rsidR="006711BA" w:rsidRPr="006711BA" w:rsidRDefault="006711BA" w:rsidP="006711BA">
            <w:pPr>
              <w:pStyle w:val="Lijstalinea"/>
              <w:numPr>
                <w:ilvl w:val="0"/>
                <w:numId w:val="9"/>
              </w:numPr>
              <w:rPr>
                <w:sz w:val="20"/>
                <w:szCs w:val="20"/>
              </w:rPr>
            </w:pPr>
            <w:r>
              <w:rPr>
                <w:sz w:val="20"/>
                <w:szCs w:val="20"/>
              </w:rPr>
              <w:t xml:space="preserve">Niet gezamenlijk door de WPN ontwikkeld. </w:t>
            </w:r>
          </w:p>
          <w:p w14:paraId="31393F24" w14:textId="77777777" w:rsidR="00BF2E85" w:rsidRDefault="00BF2E85" w:rsidP="00751CFE">
            <w:pPr>
              <w:rPr>
                <w:b/>
                <w:bCs/>
              </w:rPr>
            </w:pPr>
          </w:p>
        </w:tc>
      </w:tr>
    </w:tbl>
    <w:p w14:paraId="0E0A421C" w14:textId="77777777" w:rsidR="00BF2E85" w:rsidRDefault="00BF2E85" w:rsidP="00BF2E85">
      <w:pPr>
        <w:rPr>
          <w:b/>
          <w:bCs/>
        </w:rPr>
      </w:pPr>
    </w:p>
    <w:p w14:paraId="3A96EB30" w14:textId="77777777" w:rsidR="00BF2E85" w:rsidRDefault="00BF2E85" w:rsidP="00BF2E85">
      <w:pPr>
        <w:rPr>
          <w:b/>
          <w:bCs/>
        </w:rPr>
      </w:pPr>
    </w:p>
    <w:p w14:paraId="4AC9610F" w14:textId="77777777" w:rsidR="00BF2E85" w:rsidRPr="009D4B0F" w:rsidRDefault="00BF2E85" w:rsidP="00BF2E85">
      <w:pPr>
        <w:tabs>
          <w:tab w:val="left" w:pos="10773"/>
        </w:tabs>
        <w:rPr>
          <w:b/>
          <w:sz w:val="24"/>
          <w:szCs w:val="24"/>
        </w:rPr>
      </w:pPr>
      <w:r w:rsidRPr="009D4B0F">
        <w:rPr>
          <w:b/>
          <w:sz w:val="24"/>
          <w:szCs w:val="24"/>
        </w:rPr>
        <w:t>Samenwerkingsverbanden/netwerk</w:t>
      </w:r>
    </w:p>
    <w:p w14:paraId="2A9D6760" w14:textId="77777777" w:rsidR="00BF2E85" w:rsidRDefault="00BF2E85" w:rsidP="00BF2E85">
      <w:pPr>
        <w:tabs>
          <w:tab w:val="left" w:pos="10773"/>
        </w:tabs>
        <w:rPr>
          <w:i/>
        </w:rPr>
      </w:pPr>
      <w:r>
        <w:rPr>
          <w:i/>
        </w:rPr>
        <w:t>D</w:t>
      </w:r>
      <w:r w:rsidRPr="009050C3">
        <w:rPr>
          <w:i/>
        </w:rPr>
        <w:t>enk aan</w:t>
      </w:r>
      <w:r>
        <w:rPr>
          <w:i/>
        </w:rPr>
        <w:t>: C</w:t>
      </w:r>
      <w:r w:rsidRPr="009050C3">
        <w:rPr>
          <w:i/>
        </w:rPr>
        <w:t>on</w:t>
      </w:r>
      <w:r>
        <w:rPr>
          <w:i/>
        </w:rPr>
        <w:t>tacten met (patiënten)organisaties en andere wetenschappelijke verenigingen; V</w:t>
      </w:r>
      <w:r w:rsidRPr="009050C3">
        <w:rPr>
          <w:i/>
        </w:rPr>
        <w:t>oorlichtingsmateriaal</w:t>
      </w:r>
      <w:r>
        <w:rPr>
          <w:i/>
        </w:rPr>
        <w:t xml:space="preserve"> t.b.v. patiënten</w:t>
      </w:r>
    </w:p>
    <w:tbl>
      <w:tblPr>
        <w:tblStyle w:val="Tabelraster"/>
        <w:tblW w:w="10343" w:type="dxa"/>
        <w:tblLook w:val="04A0" w:firstRow="1" w:lastRow="0" w:firstColumn="1" w:lastColumn="0" w:noHBand="0" w:noVBand="1"/>
      </w:tblPr>
      <w:tblGrid>
        <w:gridCol w:w="10278"/>
        <w:gridCol w:w="65"/>
      </w:tblGrid>
      <w:tr w:rsidR="00BF2E85" w14:paraId="7DFE3E0B" w14:textId="77777777" w:rsidTr="00751CFE">
        <w:trPr>
          <w:gridAfter w:val="1"/>
          <w:wAfter w:w="65" w:type="dxa"/>
        </w:trPr>
        <w:tc>
          <w:tcPr>
            <w:tcW w:w="10278" w:type="dxa"/>
            <w:shd w:val="clear" w:color="auto" w:fill="D9E2F3" w:themeFill="accent1" w:themeFillTint="33"/>
          </w:tcPr>
          <w:p w14:paraId="73938911" w14:textId="77777777" w:rsidR="00BF2E85" w:rsidRDefault="00BF2E85" w:rsidP="00751CFE">
            <w:pPr>
              <w:rPr>
                <w:b/>
                <w:bCs/>
              </w:rPr>
            </w:pPr>
            <w:r>
              <w:rPr>
                <w:b/>
                <w:bCs/>
              </w:rPr>
              <w:t>Doelen</w:t>
            </w:r>
          </w:p>
        </w:tc>
      </w:tr>
      <w:tr w:rsidR="00BF2E85" w14:paraId="22D7B54F" w14:textId="77777777" w:rsidTr="00751CFE">
        <w:tc>
          <w:tcPr>
            <w:tcW w:w="10343" w:type="dxa"/>
            <w:gridSpan w:val="2"/>
          </w:tcPr>
          <w:p w14:paraId="1D9F295B" w14:textId="77777777" w:rsidR="00BF2E85" w:rsidRPr="00FB34F3" w:rsidRDefault="00BF2E85" w:rsidP="00BF2E85">
            <w:pPr>
              <w:pStyle w:val="Lijstalinea"/>
              <w:numPr>
                <w:ilvl w:val="0"/>
                <w:numId w:val="6"/>
              </w:numPr>
              <w:rPr>
                <w:sz w:val="20"/>
                <w:szCs w:val="20"/>
              </w:rPr>
            </w:pPr>
            <w:r w:rsidRPr="00FB34F3">
              <w:rPr>
                <w:sz w:val="20"/>
                <w:szCs w:val="20"/>
              </w:rPr>
              <w:t>In 2023 is Netwerk pijnrevalidatie Nederland opgericht door de 4 voormalige OPR-en. Er zullen een aantal andere revalidatiepartijen ook gaan deelnemen. Streven is bevordering van kwaliteit van zorg, eenduidigheid van behandelen en resultaatmeten. Daarnaast eenduidigheid in educatie en wetenschappelijk onderzoek</w:t>
            </w:r>
          </w:p>
          <w:p w14:paraId="7E02372F"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Contacten met patiënten verenigingen nu via de PA!N</w:t>
            </w:r>
          </w:p>
          <w:p w14:paraId="360C0FF1"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Voorlichtingsmateriaal</w:t>
            </w:r>
          </w:p>
          <w:p w14:paraId="07CC72C9"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Contacten andere wetenschappelijke verenigingen via de PA!N</w:t>
            </w:r>
          </w:p>
          <w:p w14:paraId="495C4184"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Via PA!N contacten met EFIC en IASP</w:t>
            </w:r>
          </w:p>
          <w:p w14:paraId="734A3D24"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Leden WPN maken deel uit van Medische Adviesraden van meerdere patiënten organisaties (Wervelkolom, Whiplash, Fibromyalgie)</w:t>
            </w:r>
          </w:p>
          <w:p w14:paraId="02188644"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Websites tbv patienten voorlichting en instructie in patientenzorg?</w:t>
            </w:r>
          </w:p>
          <w:p w14:paraId="01E39FAC" w14:textId="77777777" w:rsidR="00BF2E85" w:rsidRPr="00FB34F3" w:rsidRDefault="00BF2E85" w:rsidP="00BF2E85">
            <w:pPr>
              <w:pStyle w:val="Lijstalinea"/>
              <w:numPr>
                <w:ilvl w:val="0"/>
                <w:numId w:val="6"/>
              </w:numPr>
              <w:tabs>
                <w:tab w:val="left" w:pos="10773"/>
              </w:tabs>
              <w:rPr>
                <w:sz w:val="20"/>
                <w:szCs w:val="20"/>
              </w:rPr>
            </w:pPr>
            <w:r w:rsidRPr="00FB34F3">
              <w:rPr>
                <w:sz w:val="20"/>
                <w:szCs w:val="20"/>
              </w:rPr>
              <w:t>Opzet Kwaliteitsnetwerk Pijnrevalidatie Nederland</w:t>
            </w:r>
          </w:p>
          <w:p w14:paraId="1471291C" w14:textId="77777777" w:rsidR="00BF2E85" w:rsidRPr="00FB34F3" w:rsidRDefault="00BF2E85" w:rsidP="00751CFE">
            <w:pPr>
              <w:pStyle w:val="Lijstalinea"/>
              <w:rPr>
                <w:sz w:val="20"/>
                <w:szCs w:val="20"/>
              </w:rPr>
            </w:pPr>
          </w:p>
          <w:p w14:paraId="5442D44F" w14:textId="77777777" w:rsidR="00BF2E85" w:rsidRPr="00FB34F3" w:rsidRDefault="00BF2E85" w:rsidP="00751CFE">
            <w:pPr>
              <w:rPr>
                <w:b/>
                <w:bCs/>
              </w:rPr>
            </w:pPr>
          </w:p>
        </w:tc>
      </w:tr>
      <w:tr w:rsidR="00BF2E85" w14:paraId="40C234A3" w14:textId="77777777" w:rsidTr="00751CFE">
        <w:trPr>
          <w:gridAfter w:val="1"/>
          <w:wAfter w:w="65" w:type="dxa"/>
        </w:trPr>
        <w:tc>
          <w:tcPr>
            <w:tcW w:w="10278" w:type="dxa"/>
            <w:shd w:val="clear" w:color="auto" w:fill="D9E2F3" w:themeFill="accent1" w:themeFillTint="33"/>
          </w:tcPr>
          <w:p w14:paraId="48535A76" w14:textId="77777777" w:rsidR="00BF2E85" w:rsidRDefault="00BF2E85" w:rsidP="00751CFE">
            <w:pPr>
              <w:rPr>
                <w:b/>
                <w:bCs/>
              </w:rPr>
            </w:pPr>
            <w:r>
              <w:rPr>
                <w:b/>
                <w:bCs/>
              </w:rPr>
              <w:t>Voorgenomen acties relatie werkplan ‘De revalidatiearts 2025’</w:t>
            </w:r>
          </w:p>
        </w:tc>
      </w:tr>
      <w:tr w:rsidR="00BF2E85" w14:paraId="34C0EA94" w14:textId="77777777" w:rsidTr="00751CFE">
        <w:trPr>
          <w:gridAfter w:val="1"/>
          <w:wAfter w:w="65" w:type="dxa"/>
        </w:trPr>
        <w:tc>
          <w:tcPr>
            <w:tcW w:w="10278" w:type="dxa"/>
          </w:tcPr>
          <w:p w14:paraId="756A2DE6" w14:textId="77777777" w:rsidR="00BF2E85" w:rsidRPr="002D4230" w:rsidRDefault="00BF2E85" w:rsidP="00751CFE"/>
          <w:p w14:paraId="056FC4D9" w14:textId="77777777" w:rsidR="00BF2E85" w:rsidRPr="002D4230" w:rsidRDefault="00BF2E85" w:rsidP="00751CFE"/>
          <w:p w14:paraId="2BDF68B6" w14:textId="77777777" w:rsidR="00BF2E85" w:rsidRPr="002D4230" w:rsidRDefault="00BF2E85" w:rsidP="00751CFE"/>
        </w:tc>
      </w:tr>
      <w:tr w:rsidR="00BF2E85" w14:paraId="18F6076A" w14:textId="77777777" w:rsidTr="00751CFE">
        <w:trPr>
          <w:gridAfter w:val="1"/>
          <w:wAfter w:w="65" w:type="dxa"/>
        </w:trPr>
        <w:tc>
          <w:tcPr>
            <w:tcW w:w="10278" w:type="dxa"/>
            <w:shd w:val="clear" w:color="auto" w:fill="D9E2F3" w:themeFill="accent1" w:themeFillTint="33"/>
          </w:tcPr>
          <w:p w14:paraId="67F40F26" w14:textId="77777777" w:rsidR="00BF2E85" w:rsidRDefault="00BF2E85" w:rsidP="00751CFE">
            <w:pPr>
              <w:rPr>
                <w:b/>
                <w:bCs/>
              </w:rPr>
            </w:pPr>
            <w:r>
              <w:rPr>
                <w:b/>
                <w:bCs/>
              </w:rPr>
              <w:t>Realisatie (t.b.v. het jaarverslag)</w:t>
            </w:r>
          </w:p>
        </w:tc>
      </w:tr>
      <w:tr w:rsidR="00BF2E85" w14:paraId="21CBC48C" w14:textId="77777777" w:rsidTr="00751CFE">
        <w:trPr>
          <w:gridAfter w:val="1"/>
          <w:wAfter w:w="65" w:type="dxa"/>
        </w:trPr>
        <w:tc>
          <w:tcPr>
            <w:tcW w:w="10278" w:type="dxa"/>
          </w:tcPr>
          <w:p w14:paraId="3187227C" w14:textId="7E456CC1" w:rsidR="00BF2E85" w:rsidRDefault="006711BA" w:rsidP="00880EA5">
            <w:pPr>
              <w:pStyle w:val="Lijstalinea"/>
              <w:numPr>
                <w:ilvl w:val="0"/>
                <w:numId w:val="9"/>
              </w:numPr>
              <w:rPr>
                <w:sz w:val="20"/>
                <w:szCs w:val="20"/>
              </w:rPr>
            </w:pPr>
            <w:r>
              <w:rPr>
                <w:sz w:val="20"/>
                <w:szCs w:val="20"/>
              </w:rPr>
              <w:t xml:space="preserve">De NPN is opgericht. </w:t>
            </w:r>
          </w:p>
          <w:p w14:paraId="2B268259" w14:textId="14D4D289" w:rsidR="006711BA" w:rsidRDefault="006711BA" w:rsidP="00880EA5">
            <w:pPr>
              <w:pStyle w:val="Lijstalinea"/>
              <w:numPr>
                <w:ilvl w:val="0"/>
                <w:numId w:val="9"/>
              </w:numPr>
              <w:rPr>
                <w:sz w:val="20"/>
                <w:szCs w:val="20"/>
              </w:rPr>
            </w:pPr>
            <w:r>
              <w:rPr>
                <w:sz w:val="20"/>
                <w:szCs w:val="20"/>
              </w:rPr>
              <w:t>Contacten met patienten verenigingen en andere wetenschappelijke verenigingen lopen via de PA!N. Ook zijn er contacten met de</w:t>
            </w:r>
            <w:r w:rsidRPr="00FB34F3">
              <w:rPr>
                <w:sz w:val="20"/>
                <w:szCs w:val="20"/>
              </w:rPr>
              <w:t xml:space="preserve"> EFIC en IASP</w:t>
            </w:r>
            <w:r>
              <w:rPr>
                <w:sz w:val="20"/>
                <w:szCs w:val="20"/>
              </w:rPr>
              <w:t xml:space="preserve">. Marieke van Beugen zit in het bestuur van de PA!N. </w:t>
            </w:r>
          </w:p>
          <w:p w14:paraId="4C1210F2" w14:textId="673CBE70" w:rsidR="006711BA" w:rsidRDefault="006711BA" w:rsidP="00880EA5">
            <w:pPr>
              <w:pStyle w:val="Lijstalinea"/>
              <w:numPr>
                <w:ilvl w:val="0"/>
                <w:numId w:val="9"/>
              </w:numPr>
              <w:rPr>
                <w:sz w:val="20"/>
                <w:szCs w:val="20"/>
              </w:rPr>
            </w:pPr>
            <w:r>
              <w:rPr>
                <w:sz w:val="20"/>
                <w:szCs w:val="20"/>
              </w:rPr>
              <w:t xml:space="preserve">Er is geen apart voorlichtingsmateriaal via de WPN gemaakt. </w:t>
            </w:r>
          </w:p>
          <w:p w14:paraId="5E6991B2" w14:textId="77777777" w:rsidR="00880EA5" w:rsidRPr="00880EA5" w:rsidRDefault="00880EA5" w:rsidP="00880EA5">
            <w:pPr>
              <w:ind w:left="360"/>
              <w:rPr>
                <w:highlight w:val="yellow"/>
              </w:rPr>
            </w:pPr>
          </w:p>
          <w:p w14:paraId="2842B2A2" w14:textId="77777777" w:rsidR="00BF2E85" w:rsidRDefault="00BF2E85" w:rsidP="00751CFE">
            <w:pPr>
              <w:rPr>
                <w:b/>
                <w:bCs/>
              </w:rPr>
            </w:pPr>
          </w:p>
        </w:tc>
      </w:tr>
    </w:tbl>
    <w:p w14:paraId="21400494" w14:textId="77777777" w:rsidR="00BF2E85" w:rsidRDefault="00BF2E85" w:rsidP="00BF2E85">
      <w:pPr>
        <w:rPr>
          <w:b/>
          <w:bCs/>
        </w:rPr>
      </w:pPr>
    </w:p>
    <w:p w14:paraId="2FFC73D0" w14:textId="77777777" w:rsidR="00BF2E85" w:rsidRDefault="00BF2E85" w:rsidP="00BF2E85">
      <w:pPr>
        <w:rPr>
          <w:b/>
          <w:bCs/>
        </w:rPr>
      </w:pPr>
    </w:p>
    <w:p w14:paraId="02F3C86F" w14:textId="77777777" w:rsidR="00BF2E85" w:rsidRPr="009D4B0F" w:rsidRDefault="00BF2E85" w:rsidP="00BF2E85">
      <w:pPr>
        <w:tabs>
          <w:tab w:val="left" w:pos="10773"/>
        </w:tabs>
        <w:rPr>
          <w:b/>
          <w:sz w:val="24"/>
          <w:szCs w:val="24"/>
        </w:rPr>
      </w:pPr>
      <w:r w:rsidRPr="009D4B0F">
        <w:rPr>
          <w:b/>
          <w:sz w:val="24"/>
          <w:szCs w:val="24"/>
        </w:rPr>
        <w:t>Overige activiteiten</w:t>
      </w:r>
    </w:p>
    <w:p w14:paraId="5D5D03F1" w14:textId="77777777" w:rsidR="00BF2E85" w:rsidRDefault="00BF2E85" w:rsidP="00BF2E85">
      <w:pPr>
        <w:tabs>
          <w:tab w:val="left" w:pos="10773"/>
        </w:tabs>
        <w:rPr>
          <w:i/>
        </w:rPr>
      </w:pPr>
      <w:r>
        <w:rPr>
          <w:i/>
        </w:rPr>
        <w:t>D</w:t>
      </w:r>
      <w:r w:rsidRPr="009050C3">
        <w:rPr>
          <w:i/>
        </w:rPr>
        <w:t>enk aan:</w:t>
      </w:r>
      <w:r>
        <w:rPr>
          <w:i/>
        </w:rPr>
        <w:t xml:space="preserve"> </w:t>
      </w:r>
      <w:r w:rsidRPr="001819E1">
        <w:rPr>
          <w:i/>
        </w:rPr>
        <w:t>Profilering vak</w:t>
      </w:r>
      <w:r>
        <w:rPr>
          <w:i/>
        </w:rPr>
        <w:t>;</w:t>
      </w:r>
      <w:r w:rsidRPr="001819E1">
        <w:rPr>
          <w:i/>
        </w:rPr>
        <w:t xml:space="preserve"> </w:t>
      </w:r>
      <w:r>
        <w:rPr>
          <w:i/>
        </w:rPr>
        <w:t>VRA</w:t>
      </w:r>
      <w:r w:rsidRPr="001819E1">
        <w:rPr>
          <w:i/>
        </w:rPr>
        <w:t xml:space="preserve"> websit</w:t>
      </w:r>
      <w:r>
        <w:rPr>
          <w:i/>
        </w:rPr>
        <w:t>e;</w:t>
      </w:r>
      <w:r w:rsidRPr="001819E1">
        <w:rPr>
          <w:i/>
        </w:rPr>
        <w:t xml:space="preserve"> Revalidatie Kennisnet</w:t>
      </w:r>
    </w:p>
    <w:tbl>
      <w:tblPr>
        <w:tblStyle w:val="Tabelraster"/>
        <w:tblW w:w="0" w:type="auto"/>
        <w:tblLook w:val="04A0" w:firstRow="1" w:lastRow="0" w:firstColumn="1" w:lastColumn="0" w:noHBand="0" w:noVBand="1"/>
      </w:tblPr>
      <w:tblGrid>
        <w:gridCol w:w="10278"/>
      </w:tblGrid>
      <w:tr w:rsidR="00BF2E85" w14:paraId="7AB92DDD" w14:textId="77777777" w:rsidTr="00751CFE">
        <w:tc>
          <w:tcPr>
            <w:tcW w:w="10278" w:type="dxa"/>
            <w:shd w:val="clear" w:color="auto" w:fill="D9E2F3" w:themeFill="accent1" w:themeFillTint="33"/>
          </w:tcPr>
          <w:p w14:paraId="546D288B" w14:textId="77777777" w:rsidR="00BF2E85" w:rsidRDefault="00BF2E85" w:rsidP="00751CFE">
            <w:pPr>
              <w:rPr>
                <w:b/>
                <w:bCs/>
              </w:rPr>
            </w:pPr>
            <w:r>
              <w:rPr>
                <w:b/>
                <w:bCs/>
              </w:rPr>
              <w:t>Doelen</w:t>
            </w:r>
          </w:p>
        </w:tc>
      </w:tr>
      <w:tr w:rsidR="00BF2E85" w14:paraId="08F0D238" w14:textId="77777777" w:rsidTr="00751CFE">
        <w:tc>
          <w:tcPr>
            <w:tcW w:w="10278" w:type="dxa"/>
          </w:tcPr>
          <w:p w14:paraId="2D218188" w14:textId="77777777" w:rsidR="00BF2E85" w:rsidRDefault="00BF2E85" w:rsidP="00BF2E85">
            <w:pPr>
              <w:pStyle w:val="Lijstalinea"/>
              <w:numPr>
                <w:ilvl w:val="0"/>
                <w:numId w:val="5"/>
              </w:numPr>
              <w:rPr>
                <w:sz w:val="20"/>
                <w:szCs w:val="20"/>
              </w:rPr>
            </w:pPr>
            <w:r w:rsidRPr="00FB34F3">
              <w:rPr>
                <w:sz w:val="20"/>
                <w:szCs w:val="20"/>
              </w:rPr>
              <w:t>2</w:t>
            </w:r>
            <w:r w:rsidRPr="00FB34F3">
              <w:rPr>
                <w:sz w:val="20"/>
                <w:szCs w:val="20"/>
                <w:vertAlign w:val="superscript"/>
              </w:rPr>
              <w:t>e</w:t>
            </w:r>
            <w:r w:rsidRPr="00FB34F3">
              <w:rPr>
                <w:sz w:val="20"/>
                <w:szCs w:val="20"/>
              </w:rPr>
              <w:t xml:space="preserve"> artikel over samenwerking pijnrevalidatiearts en diagnose gebonden werkend revalidatiearts: wat kunnen we voor elkaar betekenen; op linked-in</w:t>
            </w:r>
          </w:p>
          <w:p w14:paraId="7972F6D3" w14:textId="77777777" w:rsidR="00BF2E85" w:rsidRPr="00FB34F3" w:rsidRDefault="00BF2E85" w:rsidP="00BF2E85">
            <w:pPr>
              <w:pStyle w:val="Lijstalinea"/>
              <w:numPr>
                <w:ilvl w:val="0"/>
                <w:numId w:val="5"/>
              </w:numPr>
              <w:tabs>
                <w:tab w:val="left" w:pos="10773"/>
              </w:tabs>
              <w:rPr>
                <w:sz w:val="20"/>
                <w:szCs w:val="20"/>
              </w:rPr>
            </w:pPr>
            <w:r w:rsidRPr="00FB34F3">
              <w:rPr>
                <w:sz w:val="20"/>
                <w:szCs w:val="20"/>
              </w:rPr>
              <w:t>Effectiviteit IMSR bij chronische pijn</w:t>
            </w:r>
          </w:p>
          <w:p w14:paraId="4A73F43D" w14:textId="77777777" w:rsidR="00BF2E85" w:rsidRPr="00FB34F3" w:rsidRDefault="00BF2E85" w:rsidP="00BF2E85">
            <w:pPr>
              <w:pStyle w:val="Lijstalinea"/>
              <w:numPr>
                <w:ilvl w:val="0"/>
                <w:numId w:val="5"/>
              </w:numPr>
              <w:tabs>
                <w:tab w:val="left" w:pos="10773"/>
              </w:tabs>
              <w:rPr>
                <w:sz w:val="20"/>
                <w:szCs w:val="20"/>
              </w:rPr>
            </w:pPr>
            <w:r w:rsidRPr="00FB34F3">
              <w:rPr>
                <w:sz w:val="20"/>
                <w:szCs w:val="20"/>
              </w:rPr>
              <w:t>VRA website</w:t>
            </w:r>
          </w:p>
          <w:p w14:paraId="5D6D9E1A" w14:textId="77777777" w:rsidR="00BF2E85" w:rsidRPr="00FB34F3" w:rsidRDefault="00BF2E85" w:rsidP="00BF2E85">
            <w:pPr>
              <w:pStyle w:val="Lijstalinea"/>
              <w:numPr>
                <w:ilvl w:val="0"/>
                <w:numId w:val="5"/>
              </w:numPr>
              <w:tabs>
                <w:tab w:val="left" w:pos="10773"/>
              </w:tabs>
              <w:rPr>
                <w:sz w:val="20"/>
                <w:szCs w:val="20"/>
              </w:rPr>
            </w:pPr>
            <w:r w:rsidRPr="00FB34F3">
              <w:rPr>
                <w:sz w:val="20"/>
                <w:szCs w:val="20"/>
              </w:rPr>
              <w:t>Revalidatiekennisnet</w:t>
            </w:r>
          </w:p>
          <w:p w14:paraId="51573265" w14:textId="77777777" w:rsidR="00BF2E85" w:rsidRDefault="00BF2E85" w:rsidP="00BF2E85">
            <w:pPr>
              <w:pStyle w:val="Lijstalinea"/>
              <w:numPr>
                <w:ilvl w:val="0"/>
                <w:numId w:val="5"/>
              </w:numPr>
              <w:tabs>
                <w:tab w:val="left" w:pos="10773"/>
              </w:tabs>
              <w:rPr>
                <w:sz w:val="20"/>
                <w:szCs w:val="20"/>
              </w:rPr>
            </w:pPr>
            <w:r w:rsidRPr="00FB34F3">
              <w:rPr>
                <w:sz w:val="20"/>
                <w:szCs w:val="20"/>
              </w:rPr>
              <w:t>NTPP</w:t>
            </w:r>
          </w:p>
          <w:p w14:paraId="19353C90" w14:textId="77777777" w:rsidR="00BF2E85" w:rsidRPr="00FB34F3" w:rsidRDefault="00BF2E85" w:rsidP="00BF2E85">
            <w:pPr>
              <w:pStyle w:val="Lijstalinea"/>
              <w:numPr>
                <w:ilvl w:val="0"/>
                <w:numId w:val="5"/>
              </w:numPr>
              <w:tabs>
                <w:tab w:val="left" w:pos="10773"/>
              </w:tabs>
              <w:rPr>
                <w:sz w:val="20"/>
                <w:szCs w:val="20"/>
              </w:rPr>
            </w:pPr>
            <w:r>
              <w:rPr>
                <w:sz w:val="20"/>
                <w:szCs w:val="20"/>
              </w:rPr>
              <w:t>Herinrichten werkwijze WPN: Eenduidige afspraken over deelname aan werkgroep pijnrevalidatie nederland</w:t>
            </w:r>
          </w:p>
          <w:p w14:paraId="2A611B0F" w14:textId="77777777" w:rsidR="00BF2E85" w:rsidRPr="00FB34F3" w:rsidRDefault="00BF2E85" w:rsidP="00751CFE">
            <w:pPr>
              <w:pStyle w:val="Lijstalinea"/>
              <w:rPr>
                <w:sz w:val="20"/>
                <w:szCs w:val="20"/>
              </w:rPr>
            </w:pPr>
          </w:p>
          <w:p w14:paraId="6A57D182" w14:textId="77777777" w:rsidR="00BF2E85" w:rsidRPr="002D4230" w:rsidRDefault="00BF2E85" w:rsidP="00751CFE"/>
          <w:p w14:paraId="460D57DF" w14:textId="77777777" w:rsidR="00BF2E85" w:rsidRDefault="00BF2E85" w:rsidP="00751CFE">
            <w:pPr>
              <w:rPr>
                <w:b/>
                <w:bCs/>
              </w:rPr>
            </w:pPr>
          </w:p>
        </w:tc>
      </w:tr>
      <w:tr w:rsidR="00BF2E85" w14:paraId="0FCEF8F1" w14:textId="77777777" w:rsidTr="00751CFE">
        <w:tc>
          <w:tcPr>
            <w:tcW w:w="10278" w:type="dxa"/>
            <w:shd w:val="clear" w:color="auto" w:fill="D9E2F3" w:themeFill="accent1" w:themeFillTint="33"/>
          </w:tcPr>
          <w:p w14:paraId="19BD5768" w14:textId="77777777" w:rsidR="00BF2E85" w:rsidRDefault="00BF2E85" w:rsidP="00751CFE">
            <w:pPr>
              <w:rPr>
                <w:b/>
                <w:bCs/>
              </w:rPr>
            </w:pPr>
            <w:r>
              <w:rPr>
                <w:b/>
                <w:bCs/>
              </w:rPr>
              <w:t>Voorgenomen acties relatie werkplan ‘De revalidatiearts 2025’</w:t>
            </w:r>
          </w:p>
        </w:tc>
      </w:tr>
      <w:tr w:rsidR="00BF2E85" w14:paraId="44BB686C" w14:textId="77777777" w:rsidTr="00751CFE">
        <w:tc>
          <w:tcPr>
            <w:tcW w:w="10278" w:type="dxa"/>
          </w:tcPr>
          <w:p w14:paraId="1230E5F5" w14:textId="77777777" w:rsidR="00BF2E85" w:rsidRPr="002D4230" w:rsidRDefault="00BF2E85" w:rsidP="00751CFE"/>
          <w:p w14:paraId="78F2A884" w14:textId="77777777" w:rsidR="00BF2E85" w:rsidRPr="002D4230" w:rsidRDefault="00BF2E85" w:rsidP="00751CFE"/>
          <w:p w14:paraId="1037B8DB" w14:textId="77777777" w:rsidR="00BF2E85" w:rsidRPr="002D4230" w:rsidRDefault="00BF2E85" w:rsidP="00751CFE"/>
        </w:tc>
      </w:tr>
      <w:tr w:rsidR="00BF2E85" w14:paraId="31261D52" w14:textId="77777777" w:rsidTr="00751CFE">
        <w:tc>
          <w:tcPr>
            <w:tcW w:w="10278" w:type="dxa"/>
            <w:shd w:val="clear" w:color="auto" w:fill="D9E2F3" w:themeFill="accent1" w:themeFillTint="33"/>
          </w:tcPr>
          <w:p w14:paraId="64A1E048" w14:textId="77777777" w:rsidR="00BF2E85" w:rsidRDefault="00BF2E85" w:rsidP="00751CFE">
            <w:pPr>
              <w:rPr>
                <w:b/>
                <w:bCs/>
              </w:rPr>
            </w:pPr>
            <w:r>
              <w:rPr>
                <w:b/>
                <w:bCs/>
              </w:rPr>
              <w:t>Realisatie (t.b.v. het jaarverslag)</w:t>
            </w:r>
          </w:p>
        </w:tc>
      </w:tr>
      <w:tr w:rsidR="00BF2E85" w14:paraId="33B5859A" w14:textId="77777777" w:rsidTr="00751CFE">
        <w:tc>
          <w:tcPr>
            <w:tcW w:w="10278" w:type="dxa"/>
          </w:tcPr>
          <w:p w14:paraId="1E3FB399" w14:textId="21A9C48D" w:rsidR="00BF2E85" w:rsidRPr="00880EA5" w:rsidRDefault="00880EA5" w:rsidP="00880EA5">
            <w:pPr>
              <w:pStyle w:val="Lijstalinea"/>
              <w:numPr>
                <w:ilvl w:val="0"/>
                <w:numId w:val="9"/>
              </w:numPr>
              <w:rPr>
                <w:sz w:val="20"/>
                <w:szCs w:val="20"/>
              </w:rPr>
            </w:pPr>
            <w:r w:rsidRPr="00880EA5">
              <w:rPr>
                <w:sz w:val="20"/>
                <w:szCs w:val="20"/>
              </w:rPr>
              <w:t>Er is nog geen tweede artikel op LinkedIn verschenen.</w:t>
            </w:r>
          </w:p>
          <w:p w14:paraId="7C4D282B" w14:textId="4C639C80" w:rsidR="00880EA5" w:rsidRDefault="00880EA5" w:rsidP="00880EA5">
            <w:pPr>
              <w:pStyle w:val="Lijstalinea"/>
              <w:numPr>
                <w:ilvl w:val="0"/>
                <w:numId w:val="9"/>
              </w:numPr>
              <w:rPr>
                <w:sz w:val="20"/>
                <w:szCs w:val="20"/>
              </w:rPr>
            </w:pPr>
            <w:r>
              <w:rPr>
                <w:sz w:val="20"/>
                <w:szCs w:val="20"/>
              </w:rPr>
              <w:t>Tekst op VRA website voor de WPN is aangepast</w:t>
            </w:r>
          </w:p>
          <w:p w14:paraId="1E2BEC57" w14:textId="2B11D510" w:rsidR="00880EA5" w:rsidRPr="00880EA5" w:rsidRDefault="00880EA5" w:rsidP="00880EA5">
            <w:pPr>
              <w:pStyle w:val="Lijstalinea"/>
              <w:numPr>
                <w:ilvl w:val="0"/>
                <w:numId w:val="9"/>
              </w:numPr>
              <w:rPr>
                <w:sz w:val="20"/>
                <w:szCs w:val="20"/>
              </w:rPr>
            </w:pPr>
            <w:r>
              <w:rPr>
                <w:sz w:val="20"/>
                <w:szCs w:val="20"/>
              </w:rPr>
              <w:t>Werkwijze WPN: er is een herziening gedaan van het huishoudelijke regelement, welke verder geïmplementeerd zal worden. Ook is een aanpassing gedaan aan de vergadervorm, met een verschil in de live (inhoudelijke discussie) en digitale vergaderingen (bespreken lopende zaken).</w:t>
            </w:r>
          </w:p>
          <w:p w14:paraId="0CD9C223" w14:textId="77777777" w:rsidR="00BF2E85" w:rsidRPr="00880EA5" w:rsidRDefault="00BF2E85" w:rsidP="00751CFE"/>
          <w:p w14:paraId="18F96C1E" w14:textId="77777777" w:rsidR="00BF2E85" w:rsidRDefault="00BF2E85" w:rsidP="00751CFE">
            <w:pPr>
              <w:rPr>
                <w:b/>
                <w:bCs/>
              </w:rPr>
            </w:pPr>
          </w:p>
        </w:tc>
      </w:tr>
    </w:tbl>
    <w:p w14:paraId="55D34274" w14:textId="77777777" w:rsidR="00BF2E85" w:rsidRDefault="00BF2E85" w:rsidP="00BF2E85">
      <w:pPr>
        <w:rPr>
          <w:b/>
          <w:bCs/>
        </w:rPr>
      </w:pPr>
    </w:p>
    <w:p w14:paraId="24A9505B" w14:textId="77777777" w:rsidR="00BF2E85" w:rsidRDefault="00BF2E85" w:rsidP="00BF2E85">
      <w:pPr>
        <w:rPr>
          <w:b/>
          <w:bCs/>
        </w:rPr>
      </w:pPr>
    </w:p>
    <w:p w14:paraId="0E7C8256" w14:textId="77777777" w:rsidR="00BF2E85" w:rsidRDefault="00BF2E85" w:rsidP="00BF2E85">
      <w:pPr>
        <w:rPr>
          <w:b/>
          <w:bCs/>
          <w:sz w:val="24"/>
          <w:szCs w:val="24"/>
        </w:rPr>
      </w:pPr>
      <w:r>
        <w:rPr>
          <w:b/>
          <w:bCs/>
          <w:sz w:val="24"/>
          <w:szCs w:val="24"/>
        </w:rPr>
        <w:br w:type="page"/>
      </w:r>
    </w:p>
    <w:p w14:paraId="59A0D776" w14:textId="77777777" w:rsidR="00BF2E85" w:rsidRPr="00E36F6D" w:rsidRDefault="00BF2E85" w:rsidP="00BF2E85">
      <w:pPr>
        <w:rPr>
          <w:b/>
          <w:bCs/>
          <w:sz w:val="24"/>
          <w:szCs w:val="24"/>
        </w:rPr>
      </w:pPr>
      <w:r w:rsidRPr="00E36F6D">
        <w:rPr>
          <w:b/>
          <w:bCs/>
          <w:sz w:val="24"/>
          <w:szCs w:val="24"/>
        </w:rPr>
        <w:t>Financiën werkgroep</w:t>
      </w:r>
    </w:p>
    <w:p w14:paraId="0A76A8E1" w14:textId="77777777" w:rsidR="00BF2E85" w:rsidRDefault="00BF2E85" w:rsidP="00BF2E85"/>
    <w:p w14:paraId="517062C7" w14:textId="77777777" w:rsidR="00EB6841" w:rsidRDefault="00EB6841" w:rsidP="00BF2E85"/>
    <w:p w14:paraId="4ED05D60" w14:textId="77777777" w:rsidR="00EB6841" w:rsidRPr="00EB6841" w:rsidRDefault="00EB6841" w:rsidP="00EB6841">
      <w:pPr>
        <w:spacing w:line="276" w:lineRule="auto"/>
        <w:rPr>
          <w:rFonts w:asciiTheme="minorHAnsi" w:eastAsiaTheme="minorHAnsi" w:hAnsiTheme="minorHAnsi" w:cstheme="minorBidi"/>
          <w:sz w:val="22"/>
          <w:szCs w:val="22"/>
          <w:lang w:eastAsia="en-US"/>
        </w:rPr>
      </w:pPr>
      <w:r w:rsidRPr="00EB6841">
        <w:rPr>
          <w:rFonts w:asciiTheme="minorHAnsi" w:eastAsiaTheme="minorHAnsi" w:hAnsiTheme="minorHAnsi" w:cstheme="minorBidi"/>
          <w:sz w:val="22"/>
          <w:szCs w:val="22"/>
          <w:lang w:eastAsia="en-US"/>
        </w:rPr>
        <w:t xml:space="preserve">In </w:t>
      </w:r>
      <w:r w:rsidRPr="00EB6841">
        <w:rPr>
          <w:rFonts w:asciiTheme="minorHAnsi" w:eastAsiaTheme="minorHAnsi" w:hAnsiTheme="minorHAnsi" w:cstheme="minorBidi"/>
          <w:b/>
          <w:bCs/>
          <w:sz w:val="22"/>
          <w:szCs w:val="22"/>
          <w:lang w:eastAsia="en-US"/>
        </w:rPr>
        <w:t>2023</w:t>
      </w:r>
      <w:r w:rsidRPr="00EB6841">
        <w:rPr>
          <w:rFonts w:asciiTheme="minorHAnsi" w:eastAsiaTheme="minorHAnsi" w:hAnsiTheme="minorHAnsi" w:cstheme="minorBidi"/>
          <w:sz w:val="22"/>
          <w:szCs w:val="22"/>
          <w:lang w:eastAsia="en-US"/>
        </w:rPr>
        <w:t xml:space="preserve"> zijn door de werkgroep de volgende kosten en opbrengsten gerealiseerd:</w:t>
      </w:r>
    </w:p>
    <w:p w14:paraId="2A9B14A0" w14:textId="77777777" w:rsidR="00EB6841" w:rsidRPr="00EB6841" w:rsidRDefault="00EB6841" w:rsidP="00EB6841">
      <w:pPr>
        <w:spacing w:line="276" w:lineRule="auto"/>
        <w:ind w:right="1"/>
        <w:rPr>
          <w:rFonts w:eastAsiaTheme="minorHAnsi" w:cs="Arial"/>
          <w:b/>
          <w:iCs/>
          <w:lang w:eastAsia="en-US"/>
        </w:rPr>
      </w:pPr>
    </w:p>
    <w:tbl>
      <w:tblPr>
        <w:tblStyle w:val="Tabelraster1"/>
        <w:tblW w:w="0" w:type="auto"/>
        <w:tblInd w:w="0" w:type="dxa"/>
        <w:tblLook w:val="04A0" w:firstRow="1" w:lastRow="0" w:firstColumn="1" w:lastColumn="0" w:noHBand="0" w:noVBand="1"/>
      </w:tblPr>
      <w:tblGrid>
        <w:gridCol w:w="4644"/>
        <w:gridCol w:w="2389"/>
        <w:gridCol w:w="2255"/>
      </w:tblGrid>
      <w:tr w:rsidR="00EB6841" w:rsidRPr="00EB6841" w14:paraId="29980488"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1A73156B"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Financiële middelen werkgroep 1/1/2023 )*</w:t>
            </w:r>
          </w:p>
        </w:tc>
        <w:tc>
          <w:tcPr>
            <w:tcW w:w="2389" w:type="dxa"/>
            <w:tcBorders>
              <w:top w:val="single" w:sz="4" w:space="0" w:color="auto"/>
              <w:left w:val="single" w:sz="4" w:space="0" w:color="auto"/>
              <w:bottom w:val="single" w:sz="4" w:space="0" w:color="auto"/>
              <w:right w:val="single" w:sz="4" w:space="0" w:color="auto"/>
            </w:tcBorders>
          </w:tcPr>
          <w:p w14:paraId="4C0974CD" w14:textId="77777777" w:rsidR="00EB6841" w:rsidRPr="00EB6841" w:rsidRDefault="00EB6841" w:rsidP="00EB6841">
            <w:pPr>
              <w:ind w:right="1"/>
              <w:rPr>
                <w:rFonts w:eastAsiaTheme="minorHAnsi" w:cs="Arial"/>
                <w:b/>
                <w:lang w:eastAsia="en-US"/>
              </w:rPr>
            </w:pPr>
          </w:p>
        </w:tc>
        <w:tc>
          <w:tcPr>
            <w:tcW w:w="2255" w:type="dxa"/>
            <w:tcBorders>
              <w:top w:val="single" w:sz="4" w:space="0" w:color="auto"/>
              <w:left w:val="single" w:sz="4" w:space="0" w:color="auto"/>
              <w:bottom w:val="single" w:sz="4" w:space="0" w:color="auto"/>
              <w:right w:val="single" w:sz="4" w:space="0" w:color="auto"/>
            </w:tcBorders>
            <w:hideMark/>
          </w:tcPr>
          <w:p w14:paraId="21D2A887"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    3050,32</w:t>
            </w:r>
          </w:p>
        </w:tc>
      </w:tr>
      <w:tr w:rsidR="00EB6841" w:rsidRPr="00EB6841" w14:paraId="0C306699"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47F2A5CE"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Kosten</w:t>
            </w:r>
          </w:p>
          <w:p w14:paraId="42CFA5DB" w14:textId="77777777" w:rsidR="00EB6841" w:rsidRPr="00EB6841" w:rsidRDefault="00EB6841" w:rsidP="00EB6841">
            <w:pPr>
              <w:ind w:right="1"/>
              <w:rPr>
                <w:rFonts w:eastAsiaTheme="minorHAnsi" w:cs="Arial"/>
                <w:bCs/>
                <w:iCs/>
                <w:lang w:eastAsia="en-US"/>
              </w:rPr>
            </w:pPr>
            <w:r w:rsidRPr="00EB6841">
              <w:rPr>
                <w:rFonts w:eastAsiaTheme="minorHAnsi" w:cs="Arial"/>
                <w:bCs/>
                <w:iCs/>
                <w:lang w:eastAsia="en-US"/>
              </w:rPr>
              <w:t>- VVVbon spreker 8-6-23</w:t>
            </w:r>
          </w:p>
          <w:p w14:paraId="331A8A1E" w14:textId="77777777" w:rsidR="00EB6841" w:rsidRPr="00EB6841" w:rsidRDefault="00EB6841" w:rsidP="00EB6841">
            <w:pPr>
              <w:ind w:right="1"/>
              <w:rPr>
                <w:rFonts w:eastAsiaTheme="minorHAnsi" w:cs="Arial"/>
                <w:bCs/>
                <w:iCs/>
                <w:lang w:eastAsia="en-US"/>
              </w:rPr>
            </w:pPr>
            <w:r w:rsidRPr="00EB6841">
              <w:rPr>
                <w:rFonts w:eastAsiaTheme="minorHAnsi" w:cs="Arial"/>
                <w:bCs/>
                <w:iCs/>
                <w:lang w:eastAsia="en-US"/>
              </w:rPr>
              <w:t>- nota Vredenburg  verg 8-6-23</w:t>
            </w:r>
          </w:p>
          <w:p w14:paraId="1C316649" w14:textId="77777777" w:rsidR="00EB6841" w:rsidRPr="00EB6841" w:rsidRDefault="00EB6841" w:rsidP="00EB6841">
            <w:pPr>
              <w:ind w:right="1"/>
              <w:rPr>
                <w:rFonts w:eastAsiaTheme="minorHAnsi" w:cs="Arial"/>
                <w:bCs/>
                <w:iCs/>
                <w:lang w:eastAsia="en-US"/>
              </w:rPr>
            </w:pPr>
            <w:r w:rsidRPr="00EB6841">
              <w:rPr>
                <w:rFonts w:eastAsiaTheme="minorHAnsi" w:cs="Arial"/>
                <w:bCs/>
                <w:iCs/>
                <w:lang w:eastAsia="en-US"/>
              </w:rPr>
              <w:t>- nota Vredenburg verg 14-9-23</w:t>
            </w:r>
          </w:p>
          <w:p w14:paraId="2E2DB9A4" w14:textId="54A3DDD3" w:rsidR="00EB6841" w:rsidRPr="00EB6841" w:rsidRDefault="00EB6841" w:rsidP="00EB6841">
            <w:pPr>
              <w:ind w:right="1"/>
              <w:rPr>
                <w:rFonts w:eastAsiaTheme="minorHAnsi" w:cs="Arial"/>
                <w:bCs/>
                <w:iCs/>
                <w:lang w:eastAsia="en-US"/>
              </w:rPr>
            </w:pPr>
            <w:r w:rsidRPr="00EB6841">
              <w:rPr>
                <w:rFonts w:eastAsiaTheme="minorHAnsi" w:cs="Arial"/>
                <w:bCs/>
                <w:iCs/>
                <w:lang w:eastAsia="en-US"/>
              </w:rPr>
              <w:t>-</w:t>
            </w:r>
            <w:r>
              <w:rPr>
                <w:rFonts w:eastAsiaTheme="minorHAnsi" w:cs="Arial"/>
                <w:bCs/>
                <w:iCs/>
                <w:lang w:eastAsia="en-US"/>
              </w:rPr>
              <w:t xml:space="preserve"> </w:t>
            </w:r>
            <w:r w:rsidRPr="00EB6841">
              <w:rPr>
                <w:rFonts w:eastAsiaTheme="minorHAnsi" w:cs="Arial"/>
                <w:bCs/>
                <w:iCs/>
                <w:lang w:eastAsia="en-US"/>
              </w:rPr>
              <w:t>vvv bon spreker 7-12-23.</w:t>
            </w:r>
          </w:p>
          <w:p w14:paraId="2B37881E" w14:textId="77777777" w:rsidR="00EB6841" w:rsidRPr="00EB6841" w:rsidRDefault="00EB6841" w:rsidP="00EB6841">
            <w:pPr>
              <w:ind w:right="1"/>
              <w:rPr>
                <w:rFonts w:eastAsiaTheme="minorHAnsi" w:cs="Arial"/>
                <w:bCs/>
                <w:iCs/>
                <w:lang w:eastAsia="en-US"/>
              </w:rPr>
            </w:pPr>
            <w:r w:rsidRPr="00EB6841">
              <w:rPr>
                <w:rFonts w:eastAsiaTheme="minorHAnsi" w:cs="Arial"/>
                <w:bCs/>
                <w:iCs/>
                <w:lang w:eastAsia="en-US"/>
              </w:rPr>
              <w:t>-</w:t>
            </w:r>
          </w:p>
          <w:p w14:paraId="0C6DC1F1" w14:textId="77777777" w:rsidR="00EB6841" w:rsidRPr="00EB6841" w:rsidRDefault="00EB6841" w:rsidP="00EB6841">
            <w:pPr>
              <w:ind w:right="1"/>
              <w:rPr>
                <w:rFonts w:eastAsiaTheme="minorHAnsi" w:cs="Arial"/>
                <w:bCs/>
                <w:iCs/>
                <w:lang w:eastAsia="en-US"/>
              </w:rPr>
            </w:pPr>
            <w:r w:rsidRPr="00EB6841">
              <w:rPr>
                <w:rFonts w:eastAsiaTheme="minorHAnsi" w:cs="Arial"/>
                <w:bCs/>
                <w:iCs/>
                <w:lang w:eastAsia="en-US"/>
              </w:rPr>
              <w:t>-</w:t>
            </w:r>
          </w:p>
          <w:p w14:paraId="69B5E243" w14:textId="77777777" w:rsidR="00EB6841" w:rsidRPr="00EB6841" w:rsidRDefault="00EB6841" w:rsidP="00EB6841">
            <w:pPr>
              <w:ind w:right="1"/>
              <w:rPr>
                <w:rFonts w:eastAsiaTheme="minorHAnsi" w:cs="Arial"/>
                <w:b/>
                <w:i/>
                <w:lang w:eastAsia="en-US"/>
              </w:rPr>
            </w:pPr>
            <w:r w:rsidRPr="00EB6841">
              <w:rPr>
                <w:rFonts w:eastAsiaTheme="minorHAnsi" w:cs="Arial"/>
                <w:bCs/>
                <w:iCs/>
                <w:lang w:eastAsia="en-US"/>
              </w:rPr>
              <w:t>-</w:t>
            </w:r>
          </w:p>
        </w:tc>
        <w:tc>
          <w:tcPr>
            <w:tcW w:w="2389" w:type="dxa"/>
            <w:tcBorders>
              <w:top w:val="single" w:sz="4" w:space="0" w:color="auto"/>
              <w:left w:val="single" w:sz="4" w:space="0" w:color="auto"/>
              <w:bottom w:val="single" w:sz="4" w:space="0" w:color="auto"/>
              <w:right w:val="single" w:sz="4" w:space="0" w:color="auto"/>
            </w:tcBorders>
          </w:tcPr>
          <w:p w14:paraId="01B60886" w14:textId="77777777" w:rsidR="00EB6841" w:rsidRPr="00EB6841" w:rsidRDefault="00EB6841" w:rsidP="00EB6841">
            <w:pPr>
              <w:ind w:right="1"/>
              <w:rPr>
                <w:rFonts w:eastAsiaTheme="minorHAnsi" w:cs="Arial"/>
                <w:lang w:eastAsia="en-US"/>
              </w:rPr>
            </w:pPr>
          </w:p>
          <w:p w14:paraId="3F71AA89"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€ 20,00</w:t>
            </w:r>
          </w:p>
          <w:p w14:paraId="06A829E9"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€ 497,00</w:t>
            </w:r>
          </w:p>
          <w:p w14:paraId="7C5C757B"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€ 521,00</w:t>
            </w:r>
          </w:p>
          <w:p w14:paraId="0213E57A"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€22,95</w:t>
            </w:r>
          </w:p>
          <w:p w14:paraId="50571B1D"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p w14:paraId="38B7FE4E"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p w14:paraId="05A3CDDB"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tc>
        <w:tc>
          <w:tcPr>
            <w:tcW w:w="2255" w:type="dxa"/>
            <w:tcBorders>
              <w:top w:val="single" w:sz="4" w:space="0" w:color="auto"/>
              <w:left w:val="single" w:sz="4" w:space="0" w:color="auto"/>
              <w:bottom w:val="single" w:sz="4" w:space="0" w:color="auto"/>
              <w:right w:val="single" w:sz="4" w:space="0" w:color="auto"/>
            </w:tcBorders>
          </w:tcPr>
          <w:p w14:paraId="781D0407" w14:textId="77777777" w:rsidR="00EB6841" w:rsidRPr="00EB6841" w:rsidRDefault="00EB6841" w:rsidP="00EB6841">
            <w:pPr>
              <w:ind w:right="1"/>
              <w:rPr>
                <w:rFonts w:eastAsiaTheme="minorHAnsi" w:cs="Arial"/>
                <w:lang w:eastAsia="en-US"/>
              </w:rPr>
            </w:pPr>
          </w:p>
        </w:tc>
      </w:tr>
      <w:tr w:rsidR="00EB6841" w:rsidRPr="00EB6841" w14:paraId="746D4841"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37DCBE58"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Totaal kosten</w:t>
            </w:r>
          </w:p>
        </w:tc>
        <w:tc>
          <w:tcPr>
            <w:tcW w:w="2389" w:type="dxa"/>
            <w:tcBorders>
              <w:top w:val="single" w:sz="4" w:space="0" w:color="auto"/>
              <w:left w:val="single" w:sz="4" w:space="0" w:color="auto"/>
              <w:bottom w:val="single" w:sz="4" w:space="0" w:color="auto"/>
              <w:right w:val="single" w:sz="4" w:space="0" w:color="auto"/>
            </w:tcBorders>
            <w:hideMark/>
          </w:tcPr>
          <w:p w14:paraId="2A7F09BD"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eraf</w:t>
            </w:r>
          </w:p>
        </w:tc>
        <w:tc>
          <w:tcPr>
            <w:tcW w:w="2255" w:type="dxa"/>
            <w:tcBorders>
              <w:top w:val="single" w:sz="4" w:space="0" w:color="auto"/>
              <w:left w:val="single" w:sz="4" w:space="0" w:color="auto"/>
              <w:bottom w:val="single" w:sz="4" w:space="0" w:color="auto"/>
              <w:right w:val="single" w:sz="4" w:space="0" w:color="auto"/>
            </w:tcBorders>
            <w:hideMark/>
          </w:tcPr>
          <w:p w14:paraId="66A57458" w14:textId="77777777" w:rsidR="00EB6841" w:rsidRPr="00EB6841" w:rsidRDefault="00EB6841" w:rsidP="00EB6841">
            <w:pPr>
              <w:ind w:right="1"/>
              <w:rPr>
                <w:rFonts w:eastAsiaTheme="minorHAnsi" w:cs="Arial"/>
                <w:lang w:eastAsia="en-US"/>
              </w:rPr>
            </w:pPr>
            <w:r w:rsidRPr="00EB6841">
              <w:rPr>
                <w:rFonts w:eastAsiaTheme="minorHAnsi" w:cs="Arial"/>
                <w:lang w:eastAsia="en-US"/>
              </w:rPr>
              <w:t>€   1060,95</w:t>
            </w:r>
          </w:p>
        </w:tc>
      </w:tr>
      <w:tr w:rsidR="00EB6841" w:rsidRPr="00EB6841" w14:paraId="567FDA65"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1F79E239"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Opbrengsten</w:t>
            </w:r>
          </w:p>
          <w:p w14:paraId="21E85AE2" w14:textId="77777777" w:rsidR="00EB6841" w:rsidRPr="00EB6841" w:rsidRDefault="00EB6841" w:rsidP="00EB6841">
            <w:pPr>
              <w:ind w:right="1"/>
              <w:rPr>
                <w:rFonts w:eastAsiaTheme="minorHAnsi" w:cs="Arial"/>
                <w:bCs/>
                <w:lang w:eastAsia="en-US"/>
              </w:rPr>
            </w:pPr>
            <w:r w:rsidRPr="00EB6841">
              <w:rPr>
                <w:rFonts w:eastAsiaTheme="minorHAnsi" w:cs="Arial"/>
                <w:bCs/>
                <w:lang w:eastAsia="en-US"/>
              </w:rPr>
              <w:t>- Bijdrage VRA</w:t>
            </w:r>
          </w:p>
          <w:p w14:paraId="69F35017"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w:t>
            </w:r>
          </w:p>
        </w:tc>
        <w:tc>
          <w:tcPr>
            <w:tcW w:w="2389" w:type="dxa"/>
            <w:tcBorders>
              <w:top w:val="single" w:sz="4" w:space="0" w:color="auto"/>
              <w:left w:val="single" w:sz="4" w:space="0" w:color="auto"/>
              <w:bottom w:val="single" w:sz="4" w:space="0" w:color="auto"/>
              <w:right w:val="single" w:sz="4" w:space="0" w:color="auto"/>
            </w:tcBorders>
          </w:tcPr>
          <w:p w14:paraId="365460D7" w14:textId="77777777" w:rsidR="00EB6841" w:rsidRPr="00EB6841" w:rsidRDefault="00EB6841" w:rsidP="00EB6841">
            <w:pPr>
              <w:ind w:right="1"/>
              <w:rPr>
                <w:rFonts w:eastAsiaTheme="minorHAnsi" w:cs="Arial"/>
                <w:lang w:eastAsia="en-US"/>
              </w:rPr>
            </w:pPr>
          </w:p>
          <w:p w14:paraId="5E13F3D1"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p w14:paraId="3E7D7F5A"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tc>
        <w:tc>
          <w:tcPr>
            <w:tcW w:w="2255" w:type="dxa"/>
            <w:tcBorders>
              <w:top w:val="single" w:sz="4" w:space="0" w:color="auto"/>
              <w:left w:val="single" w:sz="4" w:space="0" w:color="auto"/>
              <w:bottom w:val="single" w:sz="4" w:space="0" w:color="auto"/>
              <w:right w:val="single" w:sz="4" w:space="0" w:color="auto"/>
            </w:tcBorders>
          </w:tcPr>
          <w:p w14:paraId="6F8B8525" w14:textId="77777777" w:rsidR="00EB6841" w:rsidRPr="00EB6841" w:rsidRDefault="00EB6841" w:rsidP="00EB6841">
            <w:pPr>
              <w:ind w:right="1"/>
              <w:rPr>
                <w:rFonts w:eastAsiaTheme="minorHAnsi" w:cs="Arial"/>
                <w:lang w:eastAsia="en-US"/>
              </w:rPr>
            </w:pPr>
          </w:p>
        </w:tc>
      </w:tr>
      <w:tr w:rsidR="00EB6841" w:rsidRPr="00EB6841" w14:paraId="4C10FE8A"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01EA3B92"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Totaal opbrengsten</w:t>
            </w:r>
          </w:p>
        </w:tc>
        <w:tc>
          <w:tcPr>
            <w:tcW w:w="2389" w:type="dxa"/>
            <w:tcBorders>
              <w:top w:val="single" w:sz="4" w:space="0" w:color="auto"/>
              <w:left w:val="single" w:sz="4" w:space="0" w:color="auto"/>
              <w:bottom w:val="single" w:sz="4" w:space="0" w:color="auto"/>
              <w:right w:val="single" w:sz="4" w:space="0" w:color="auto"/>
            </w:tcBorders>
            <w:hideMark/>
          </w:tcPr>
          <w:p w14:paraId="11FC1294" w14:textId="77777777" w:rsidR="00EB6841" w:rsidRPr="00EB6841" w:rsidRDefault="00EB6841" w:rsidP="00EB6841">
            <w:pPr>
              <w:ind w:right="1"/>
              <w:jc w:val="right"/>
              <w:rPr>
                <w:rFonts w:eastAsiaTheme="minorHAnsi" w:cs="Arial"/>
                <w:lang w:eastAsia="en-US"/>
              </w:rPr>
            </w:pPr>
            <w:r w:rsidRPr="00EB6841">
              <w:rPr>
                <w:rFonts w:eastAsiaTheme="minorHAnsi" w:cs="Arial"/>
                <w:lang w:eastAsia="en-US"/>
              </w:rPr>
              <w:t>erbij</w:t>
            </w:r>
          </w:p>
        </w:tc>
        <w:tc>
          <w:tcPr>
            <w:tcW w:w="2255" w:type="dxa"/>
            <w:tcBorders>
              <w:top w:val="single" w:sz="4" w:space="0" w:color="auto"/>
              <w:left w:val="single" w:sz="4" w:space="0" w:color="auto"/>
              <w:bottom w:val="single" w:sz="4" w:space="0" w:color="auto"/>
              <w:right w:val="single" w:sz="4" w:space="0" w:color="auto"/>
            </w:tcBorders>
            <w:hideMark/>
          </w:tcPr>
          <w:p w14:paraId="0E6176A3" w14:textId="77777777" w:rsidR="00EB6841" w:rsidRPr="00EB6841" w:rsidRDefault="00EB6841" w:rsidP="00EB6841">
            <w:pPr>
              <w:ind w:right="1"/>
              <w:rPr>
                <w:rFonts w:eastAsiaTheme="minorHAnsi" w:cs="Arial"/>
                <w:lang w:eastAsia="en-US"/>
              </w:rPr>
            </w:pPr>
            <w:r w:rsidRPr="00EB6841">
              <w:rPr>
                <w:rFonts w:eastAsiaTheme="minorHAnsi" w:cs="Arial"/>
                <w:lang w:eastAsia="en-US"/>
              </w:rPr>
              <w:t>€</w:t>
            </w:r>
          </w:p>
        </w:tc>
      </w:tr>
      <w:tr w:rsidR="00EB6841" w:rsidRPr="00EB6841" w14:paraId="4A0BC577" w14:textId="77777777" w:rsidTr="000E11A0">
        <w:tc>
          <w:tcPr>
            <w:tcW w:w="4644" w:type="dxa"/>
            <w:tcBorders>
              <w:top w:val="single" w:sz="4" w:space="0" w:color="auto"/>
              <w:left w:val="single" w:sz="4" w:space="0" w:color="auto"/>
              <w:bottom w:val="single" w:sz="4" w:space="0" w:color="auto"/>
              <w:right w:val="single" w:sz="4" w:space="0" w:color="auto"/>
            </w:tcBorders>
          </w:tcPr>
          <w:p w14:paraId="4301DE3B" w14:textId="77777777" w:rsidR="00EB6841" w:rsidRPr="00EB6841" w:rsidRDefault="00EB6841" w:rsidP="00EB6841">
            <w:pPr>
              <w:ind w:right="1"/>
              <w:rPr>
                <w:rFonts w:eastAsiaTheme="minorHAnsi" w:cs="Arial"/>
                <w:b/>
                <w:lang w:eastAsia="en-US"/>
              </w:rPr>
            </w:pPr>
          </w:p>
        </w:tc>
        <w:tc>
          <w:tcPr>
            <w:tcW w:w="2389" w:type="dxa"/>
            <w:tcBorders>
              <w:top w:val="single" w:sz="4" w:space="0" w:color="auto"/>
              <w:left w:val="single" w:sz="4" w:space="0" w:color="auto"/>
              <w:bottom w:val="single" w:sz="4" w:space="0" w:color="auto"/>
              <w:right w:val="single" w:sz="4" w:space="0" w:color="auto"/>
            </w:tcBorders>
          </w:tcPr>
          <w:p w14:paraId="39B75F11" w14:textId="77777777" w:rsidR="00EB6841" w:rsidRPr="00EB6841" w:rsidRDefault="00EB6841" w:rsidP="00EB6841">
            <w:pPr>
              <w:ind w:right="1"/>
              <w:rPr>
                <w:rFonts w:eastAsiaTheme="minorHAnsi" w:cs="Arial"/>
                <w:lang w:eastAsia="en-US"/>
              </w:rPr>
            </w:pPr>
          </w:p>
        </w:tc>
        <w:tc>
          <w:tcPr>
            <w:tcW w:w="2255" w:type="dxa"/>
            <w:tcBorders>
              <w:top w:val="single" w:sz="4" w:space="0" w:color="auto"/>
              <w:left w:val="single" w:sz="4" w:space="0" w:color="auto"/>
              <w:bottom w:val="single" w:sz="4" w:space="0" w:color="auto"/>
              <w:right w:val="single" w:sz="4" w:space="0" w:color="auto"/>
            </w:tcBorders>
          </w:tcPr>
          <w:p w14:paraId="4AC6DCA7" w14:textId="77777777" w:rsidR="00EB6841" w:rsidRPr="00EB6841" w:rsidRDefault="00EB6841" w:rsidP="00EB6841">
            <w:pPr>
              <w:ind w:right="1"/>
              <w:rPr>
                <w:rFonts w:eastAsiaTheme="minorHAnsi" w:cs="Arial"/>
                <w:lang w:eastAsia="en-US"/>
              </w:rPr>
            </w:pPr>
          </w:p>
        </w:tc>
      </w:tr>
      <w:tr w:rsidR="00EB6841" w:rsidRPr="00EB6841" w14:paraId="656F7E25" w14:textId="77777777" w:rsidTr="000E11A0">
        <w:tc>
          <w:tcPr>
            <w:tcW w:w="4644" w:type="dxa"/>
            <w:tcBorders>
              <w:top w:val="single" w:sz="4" w:space="0" w:color="auto"/>
              <w:left w:val="single" w:sz="4" w:space="0" w:color="auto"/>
              <w:bottom w:val="single" w:sz="4" w:space="0" w:color="auto"/>
              <w:right w:val="single" w:sz="4" w:space="0" w:color="auto"/>
            </w:tcBorders>
            <w:hideMark/>
          </w:tcPr>
          <w:p w14:paraId="40A3350E" w14:textId="77777777" w:rsidR="00EB6841" w:rsidRPr="00EB6841" w:rsidRDefault="00EB6841" w:rsidP="00EB6841">
            <w:pPr>
              <w:ind w:right="1"/>
              <w:rPr>
                <w:rFonts w:eastAsiaTheme="minorHAnsi" w:cs="Arial"/>
                <w:b/>
                <w:lang w:eastAsia="en-US"/>
              </w:rPr>
            </w:pPr>
            <w:r w:rsidRPr="00EB6841">
              <w:rPr>
                <w:rFonts w:eastAsiaTheme="minorHAnsi" w:cs="Arial"/>
                <w:b/>
                <w:lang w:eastAsia="en-US"/>
              </w:rPr>
              <w:t>Financiële middelen werkgroep 31/12/2023 )**</w:t>
            </w:r>
          </w:p>
        </w:tc>
        <w:tc>
          <w:tcPr>
            <w:tcW w:w="2389" w:type="dxa"/>
            <w:tcBorders>
              <w:top w:val="single" w:sz="4" w:space="0" w:color="auto"/>
              <w:left w:val="single" w:sz="4" w:space="0" w:color="auto"/>
              <w:bottom w:val="single" w:sz="4" w:space="0" w:color="auto"/>
              <w:right w:val="single" w:sz="4" w:space="0" w:color="auto"/>
            </w:tcBorders>
          </w:tcPr>
          <w:p w14:paraId="50373739" w14:textId="77777777" w:rsidR="00EB6841" w:rsidRPr="00EB6841" w:rsidRDefault="00EB6841" w:rsidP="00EB6841">
            <w:pPr>
              <w:ind w:right="1"/>
              <w:rPr>
                <w:rFonts w:eastAsiaTheme="minorHAnsi" w:cs="Arial"/>
                <w:lang w:eastAsia="en-US"/>
              </w:rPr>
            </w:pPr>
          </w:p>
        </w:tc>
        <w:tc>
          <w:tcPr>
            <w:tcW w:w="2255" w:type="dxa"/>
            <w:tcBorders>
              <w:top w:val="single" w:sz="4" w:space="0" w:color="auto"/>
              <w:left w:val="single" w:sz="4" w:space="0" w:color="auto"/>
              <w:bottom w:val="single" w:sz="4" w:space="0" w:color="auto"/>
              <w:right w:val="single" w:sz="4" w:space="0" w:color="auto"/>
            </w:tcBorders>
            <w:hideMark/>
          </w:tcPr>
          <w:p w14:paraId="714E5714" w14:textId="77777777" w:rsidR="00EB6841" w:rsidRPr="00EB6841" w:rsidRDefault="00EB6841" w:rsidP="00EB6841">
            <w:pPr>
              <w:ind w:right="1"/>
              <w:rPr>
                <w:rFonts w:eastAsiaTheme="minorHAnsi" w:cs="Arial"/>
                <w:lang w:eastAsia="en-US"/>
              </w:rPr>
            </w:pPr>
            <w:r w:rsidRPr="00EB6841">
              <w:rPr>
                <w:rFonts w:eastAsiaTheme="minorHAnsi" w:cs="Arial"/>
                <w:lang w:eastAsia="en-US"/>
              </w:rPr>
              <w:t>€   1989,37</w:t>
            </w:r>
          </w:p>
        </w:tc>
      </w:tr>
    </w:tbl>
    <w:p w14:paraId="0147303B" w14:textId="77777777" w:rsidR="00EB6841" w:rsidRPr="00EB6841" w:rsidRDefault="00EB6841" w:rsidP="00EB6841">
      <w:pPr>
        <w:spacing w:after="200" w:line="276" w:lineRule="auto"/>
        <w:rPr>
          <w:rFonts w:asciiTheme="minorHAnsi" w:eastAsiaTheme="minorHAnsi" w:hAnsiTheme="minorHAnsi" w:cstheme="minorBidi"/>
          <w:sz w:val="22"/>
          <w:szCs w:val="22"/>
          <w:lang w:eastAsia="en-US"/>
        </w:rPr>
      </w:pPr>
    </w:p>
    <w:p w14:paraId="0A0FF818" w14:textId="77777777" w:rsidR="00EB6841" w:rsidRDefault="00EB6841" w:rsidP="00BF2E85"/>
    <w:p w14:paraId="1342EB57" w14:textId="77777777" w:rsidR="00EB6841" w:rsidRDefault="00EB6841" w:rsidP="00BF2E85"/>
    <w:p w14:paraId="22C314D1" w14:textId="77777777" w:rsidR="00EB6841" w:rsidRDefault="00EB6841" w:rsidP="00BF2E85"/>
    <w:p w14:paraId="454746B8" w14:textId="77777777" w:rsidR="00EB6841" w:rsidRDefault="00EB6841" w:rsidP="00BF2E85"/>
    <w:p w14:paraId="3887A5F8" w14:textId="77777777" w:rsidR="00EB6841" w:rsidRDefault="00EB6841" w:rsidP="00BF2E85"/>
    <w:p w14:paraId="091F9D85" w14:textId="77777777" w:rsidR="00EB6841" w:rsidRDefault="00EB6841" w:rsidP="00BF2E85"/>
    <w:p w14:paraId="7247F82C" w14:textId="20049032" w:rsidR="00EB6841" w:rsidRDefault="00EB6841" w:rsidP="00BF2E85"/>
    <w:p w14:paraId="3E33B4FF" w14:textId="77777777" w:rsidR="00EB6841" w:rsidRDefault="00EB6841" w:rsidP="00BF2E85"/>
    <w:p w14:paraId="5DA83397" w14:textId="77777777" w:rsidR="00EB6841" w:rsidRDefault="00EB6841" w:rsidP="00BF2E85"/>
    <w:p w14:paraId="7E73801E" w14:textId="77777777" w:rsidR="00EB6841" w:rsidRDefault="00EB6841" w:rsidP="00BF2E85"/>
    <w:p w14:paraId="608C67BD" w14:textId="77777777" w:rsidR="00BF2E85" w:rsidRDefault="00BF2E85" w:rsidP="00BF2E85"/>
    <w:p w14:paraId="0574A331" w14:textId="77777777" w:rsidR="00BF2E85" w:rsidRDefault="00BF2E85" w:rsidP="00BF2E85"/>
    <w:p w14:paraId="66A546FF" w14:textId="77777777" w:rsidR="00BF2E85" w:rsidRPr="00DE560B" w:rsidRDefault="00BF2E85" w:rsidP="00BF2E85"/>
    <w:p w14:paraId="439B78C0" w14:textId="77777777" w:rsidR="00065DE2" w:rsidRDefault="00065DE2"/>
    <w:sectPr w:rsidR="00065DE2" w:rsidSect="0064475B">
      <w:headerReference w:type="default" r:id="rId7"/>
      <w:footerReference w:type="default" r:id="rId8"/>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291C" w14:textId="77777777" w:rsidR="008D5A50" w:rsidRDefault="008D5A50">
      <w:r>
        <w:separator/>
      </w:r>
    </w:p>
  </w:endnote>
  <w:endnote w:type="continuationSeparator" w:id="0">
    <w:p w14:paraId="0890536E" w14:textId="77777777" w:rsidR="008D5A50" w:rsidRDefault="008D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ter">
    <w:charset w:val="00"/>
    <w:family w:val="auto"/>
    <w:pitch w:val="variable"/>
    <w:sig w:usb0="E00002FF" w:usb1="1200A1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BBC3" w14:textId="77777777" w:rsidR="00880EA5" w:rsidRDefault="00880EA5">
    <w:pPr>
      <w:pStyle w:val="Voettekst"/>
      <w:jc w:val="right"/>
    </w:pPr>
    <w:r>
      <w:fldChar w:fldCharType="begin"/>
    </w:r>
    <w:r>
      <w:instrText xml:space="preserve"> PAGE   \* MERGEFORMAT </w:instrText>
    </w:r>
    <w:r>
      <w:fldChar w:fldCharType="separate"/>
    </w:r>
    <w:r>
      <w:rPr>
        <w:noProof/>
      </w:rPr>
      <w:t>1</w:t>
    </w:r>
    <w:r>
      <w:rPr>
        <w:noProof/>
      </w:rPr>
      <w:fldChar w:fldCharType="end"/>
    </w:r>
  </w:p>
  <w:p w14:paraId="20DEFBE9" w14:textId="77777777" w:rsidR="00880EA5" w:rsidRDefault="00880E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A71E" w14:textId="77777777" w:rsidR="008D5A50" w:rsidRDefault="008D5A50">
      <w:r>
        <w:separator/>
      </w:r>
    </w:p>
  </w:footnote>
  <w:footnote w:type="continuationSeparator" w:id="0">
    <w:p w14:paraId="683E2790" w14:textId="77777777" w:rsidR="008D5A50" w:rsidRDefault="008D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8751" w14:textId="77777777" w:rsidR="00880EA5" w:rsidRDefault="00880EA5">
    <w:pPr>
      <w:pStyle w:val="Koptekst"/>
    </w:pPr>
    <w:r>
      <w:rPr>
        <w:noProof/>
      </w:rPr>
      <w:drawing>
        <wp:anchor distT="0" distB="0" distL="114300" distR="114300" simplePos="0" relativeHeight="251659264" behindDoc="0" locked="0" layoutInCell="1" allowOverlap="1" wp14:anchorId="44CE7AE9" wp14:editId="404E1463">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9FD"/>
    <w:multiLevelType w:val="hybridMultilevel"/>
    <w:tmpl w:val="BBDC8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FE1B71"/>
    <w:multiLevelType w:val="hybridMultilevel"/>
    <w:tmpl w:val="D9147B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373E25"/>
    <w:multiLevelType w:val="hybridMultilevel"/>
    <w:tmpl w:val="10EEC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7F607F"/>
    <w:multiLevelType w:val="hybridMultilevel"/>
    <w:tmpl w:val="92FA2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61B715D"/>
    <w:multiLevelType w:val="hybridMultilevel"/>
    <w:tmpl w:val="83281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D9E6F51"/>
    <w:multiLevelType w:val="hybridMultilevel"/>
    <w:tmpl w:val="8CE49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9A17E6"/>
    <w:multiLevelType w:val="hybridMultilevel"/>
    <w:tmpl w:val="C960F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E316DD1"/>
    <w:multiLevelType w:val="hybridMultilevel"/>
    <w:tmpl w:val="EC62EA8E"/>
    <w:lvl w:ilvl="0" w:tplc="0E343F46">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1884963">
    <w:abstractNumId w:val="3"/>
  </w:num>
  <w:num w:numId="2" w16cid:durableId="1760059086">
    <w:abstractNumId w:val="6"/>
  </w:num>
  <w:num w:numId="3" w16cid:durableId="755400555">
    <w:abstractNumId w:val="5"/>
  </w:num>
  <w:num w:numId="4" w16cid:durableId="1288046628">
    <w:abstractNumId w:val="0"/>
  </w:num>
  <w:num w:numId="5" w16cid:durableId="1486164770">
    <w:abstractNumId w:val="4"/>
  </w:num>
  <w:num w:numId="6" w16cid:durableId="950085907">
    <w:abstractNumId w:val="7"/>
  </w:num>
  <w:num w:numId="7" w16cid:durableId="1637028511">
    <w:abstractNumId w:val="1"/>
  </w:num>
  <w:num w:numId="8" w16cid:durableId="1408650610">
    <w:abstractNumId w:val="2"/>
  </w:num>
  <w:num w:numId="9" w16cid:durableId="75396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85"/>
    <w:rsid w:val="00065DE2"/>
    <w:rsid w:val="001B60CE"/>
    <w:rsid w:val="0041309B"/>
    <w:rsid w:val="00436F27"/>
    <w:rsid w:val="006711BA"/>
    <w:rsid w:val="00880EA5"/>
    <w:rsid w:val="008D5A50"/>
    <w:rsid w:val="00A841AA"/>
    <w:rsid w:val="00AD63F1"/>
    <w:rsid w:val="00BF2E85"/>
    <w:rsid w:val="00EB6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B1E"/>
  <w15:chartTrackingRefBased/>
  <w15:docId w15:val="{569C2303-E6FF-4AAF-B75A-560FA849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Theme="minorHAnsi" w:hAnsi="Inter"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E85"/>
    <w:pPr>
      <w:spacing w:after="0" w:line="240" w:lineRule="auto"/>
    </w:pPr>
    <w:rPr>
      <w:rFonts w:ascii="Arial" w:eastAsia="Times New Roman" w:hAnsi="Arial"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F2E85"/>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BF2E85"/>
    <w:pPr>
      <w:tabs>
        <w:tab w:val="center" w:pos="4536"/>
        <w:tab w:val="right" w:pos="9072"/>
      </w:tabs>
    </w:pPr>
  </w:style>
  <w:style w:type="character" w:customStyle="1" w:styleId="KoptekstChar">
    <w:name w:val="Koptekst Char"/>
    <w:basedOn w:val="Standaardalinea-lettertype"/>
    <w:link w:val="Koptekst"/>
    <w:uiPriority w:val="99"/>
    <w:semiHidden/>
    <w:rsid w:val="00BF2E85"/>
    <w:rPr>
      <w:rFonts w:ascii="Arial" w:eastAsia="Times New Roman" w:hAnsi="Arial" w:cs="Times New Roman"/>
      <w:kern w:val="0"/>
      <w:sz w:val="20"/>
      <w:szCs w:val="20"/>
      <w:lang w:eastAsia="nl-NL"/>
      <w14:ligatures w14:val="none"/>
    </w:rPr>
  </w:style>
  <w:style w:type="paragraph" w:styleId="Voettekst">
    <w:name w:val="footer"/>
    <w:basedOn w:val="Standaard"/>
    <w:link w:val="VoettekstChar"/>
    <w:uiPriority w:val="99"/>
    <w:unhideWhenUsed/>
    <w:rsid w:val="00BF2E85"/>
    <w:pPr>
      <w:tabs>
        <w:tab w:val="center" w:pos="4536"/>
        <w:tab w:val="right" w:pos="9072"/>
      </w:tabs>
    </w:pPr>
  </w:style>
  <w:style w:type="character" w:customStyle="1" w:styleId="VoettekstChar">
    <w:name w:val="Voettekst Char"/>
    <w:basedOn w:val="Standaardalinea-lettertype"/>
    <w:link w:val="Voettekst"/>
    <w:uiPriority w:val="99"/>
    <w:rsid w:val="00BF2E85"/>
    <w:rPr>
      <w:rFonts w:ascii="Arial" w:eastAsia="Times New Roman" w:hAnsi="Arial" w:cs="Times New Roman"/>
      <w:kern w:val="0"/>
      <w:sz w:val="20"/>
      <w:szCs w:val="20"/>
      <w:lang w:eastAsia="nl-NL"/>
      <w14:ligatures w14:val="none"/>
    </w:rPr>
  </w:style>
  <w:style w:type="paragraph" w:styleId="Lijstalinea">
    <w:name w:val="List Paragraph"/>
    <w:basedOn w:val="Standaard"/>
    <w:uiPriority w:val="34"/>
    <w:qFormat/>
    <w:rsid w:val="00BF2E85"/>
    <w:pPr>
      <w:ind w:left="720"/>
      <w:contextualSpacing/>
    </w:pPr>
    <w:rPr>
      <w:rFonts w:cs="Arial"/>
      <w:sz w:val="24"/>
      <w:szCs w:val="24"/>
    </w:rPr>
  </w:style>
  <w:style w:type="character" w:styleId="Verwijzingopmerking">
    <w:name w:val="annotation reference"/>
    <w:basedOn w:val="Standaardalinea-lettertype"/>
    <w:uiPriority w:val="99"/>
    <w:semiHidden/>
    <w:unhideWhenUsed/>
    <w:rsid w:val="00880EA5"/>
    <w:rPr>
      <w:sz w:val="16"/>
      <w:szCs w:val="16"/>
    </w:rPr>
  </w:style>
  <w:style w:type="paragraph" w:styleId="Tekstopmerking">
    <w:name w:val="annotation text"/>
    <w:basedOn w:val="Standaard"/>
    <w:link w:val="TekstopmerkingChar"/>
    <w:uiPriority w:val="99"/>
    <w:unhideWhenUsed/>
    <w:rsid w:val="00880EA5"/>
  </w:style>
  <w:style w:type="character" w:customStyle="1" w:styleId="TekstopmerkingChar">
    <w:name w:val="Tekst opmerking Char"/>
    <w:basedOn w:val="Standaardalinea-lettertype"/>
    <w:link w:val="Tekstopmerking"/>
    <w:uiPriority w:val="99"/>
    <w:rsid w:val="00880EA5"/>
    <w:rPr>
      <w:rFonts w:ascii="Arial" w:eastAsia="Times New Roman" w:hAnsi="Arial"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80EA5"/>
    <w:rPr>
      <w:b/>
      <w:bCs/>
    </w:rPr>
  </w:style>
  <w:style w:type="character" w:customStyle="1" w:styleId="OnderwerpvanopmerkingChar">
    <w:name w:val="Onderwerp van opmerking Char"/>
    <w:basedOn w:val="TekstopmerkingChar"/>
    <w:link w:val="Onderwerpvanopmerking"/>
    <w:uiPriority w:val="99"/>
    <w:semiHidden/>
    <w:rsid w:val="00880EA5"/>
    <w:rPr>
      <w:rFonts w:ascii="Arial" w:eastAsia="Times New Roman" w:hAnsi="Arial" w:cs="Times New Roman"/>
      <w:b/>
      <w:bCs/>
      <w:kern w:val="0"/>
      <w:sz w:val="20"/>
      <w:szCs w:val="20"/>
      <w:lang w:eastAsia="nl-NL"/>
      <w14:ligatures w14:val="none"/>
    </w:rPr>
  </w:style>
  <w:style w:type="table" w:customStyle="1" w:styleId="Tabelraster1">
    <w:name w:val="Tabelraster1"/>
    <w:basedOn w:val="Standaardtabel"/>
    <w:next w:val="Tabelraster"/>
    <w:uiPriority w:val="59"/>
    <w:rsid w:val="00EB6841"/>
    <w:pPr>
      <w:spacing w:after="0" w:line="240" w:lineRule="auto"/>
    </w:pPr>
    <w:rPr>
      <w:rFonts w:asciiTheme="minorHAnsi" w:hAnsiTheme="minorHAns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09e9f0857b21ece3f573e1ffaec3528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f50cf7567ec3d3a4075e4dd9a8ac5909"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F44E6-138C-4F5B-9AE2-8907FE14461A}"/>
</file>

<file path=customXml/itemProps2.xml><?xml version="1.0" encoding="utf-8"?>
<ds:datastoreItem xmlns:ds="http://schemas.openxmlformats.org/officeDocument/2006/customXml" ds:itemID="{559A8A4D-2BFB-4112-B187-A6853B1E49A2}"/>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Disseldorp, Marlous van</dc:creator>
  <cp:keywords/>
  <dc:description/>
  <cp:lastModifiedBy>Disseldorp, Marlous van</cp:lastModifiedBy>
  <cp:revision>2</cp:revision>
  <dcterms:created xsi:type="dcterms:W3CDTF">2024-06-13T15:22:00Z</dcterms:created>
  <dcterms:modified xsi:type="dcterms:W3CDTF">2024-06-13T15:22:00Z</dcterms:modified>
</cp:coreProperties>
</file>